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CD" w:rsidRPr="000E64CD" w:rsidRDefault="000E64CD" w:rsidP="000E64CD">
      <w:pPr>
        <w:pStyle w:val="Default"/>
        <w:spacing w:line="360" w:lineRule="auto"/>
        <w:jc w:val="center"/>
        <w:rPr>
          <w:rFonts w:asciiTheme="minorHAnsi" w:hAnsiTheme="minorHAnsi"/>
          <w:b/>
          <w:u w:val="single"/>
          <w:lang w:val="en-US"/>
        </w:rPr>
      </w:pPr>
      <w:r w:rsidRPr="000E64CD">
        <w:rPr>
          <w:rFonts w:asciiTheme="minorHAnsi" w:hAnsiTheme="minorHAnsi"/>
          <w:b/>
          <w:u w:val="single"/>
          <w:lang w:val="en-US"/>
        </w:rPr>
        <w:t>BANK RATIOS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The performance is examined with the use of 20 financial-accounting ratios, such as: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b/>
        </w:rPr>
      </w:pPr>
      <w:r w:rsidRPr="000E64CD">
        <w:rPr>
          <w:rFonts w:asciiTheme="minorHAnsi" w:hAnsiTheme="minorHAnsi" w:cs="Arial"/>
          <w:b/>
          <w:lang w:val="en-US"/>
        </w:rPr>
        <w:t xml:space="preserve">A) Profitability Indicators </w:t>
      </w:r>
      <w:r w:rsidRPr="000E64CD">
        <w:rPr>
          <w:rFonts w:asciiTheme="minorHAnsi" w:hAnsiTheme="minorHAnsi" w:cs="Arial"/>
          <w:b/>
        </w:rPr>
        <w:t>(Αποδοτικότητας)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1. Return on Equity (ROE) = Net Income before taxes/Total equity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2. Return on Assets (ROA) = Net Income before taxes/Total assets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3. Return on Assets plus </w:t>
      </w:r>
      <w:r>
        <w:rPr>
          <w:rFonts w:asciiTheme="minorHAnsi" w:hAnsiTheme="minorHAnsi" w:cs="Arial"/>
        </w:rPr>
        <w:t>ο</w:t>
      </w:r>
      <w:proofErr w:type="spellStart"/>
      <w:r w:rsidRPr="000E64CD">
        <w:rPr>
          <w:rFonts w:asciiTheme="minorHAnsi" w:hAnsiTheme="minorHAnsi" w:cs="Arial"/>
          <w:lang w:val="en-US"/>
        </w:rPr>
        <w:t>ff</w:t>
      </w:r>
      <w:proofErr w:type="spellEnd"/>
      <w:r w:rsidRPr="000E64CD">
        <w:rPr>
          <w:rFonts w:asciiTheme="minorHAnsi" w:hAnsiTheme="minorHAnsi" w:cs="Arial"/>
          <w:lang w:val="en-US"/>
        </w:rPr>
        <w:t xml:space="preserve">-Balance Sheet Items = Net Income before taxes/Total assets </w:t>
      </w:r>
      <w:r>
        <w:rPr>
          <w:rFonts w:asciiTheme="minorHAnsi" w:hAnsiTheme="minorHAnsi" w:cs="Arial"/>
        </w:rPr>
        <w:t>ο</w:t>
      </w:r>
      <w:proofErr w:type="spellStart"/>
      <w:r w:rsidRPr="000E64CD">
        <w:rPr>
          <w:rFonts w:asciiTheme="minorHAnsi" w:hAnsiTheme="minorHAnsi" w:cs="Arial"/>
          <w:lang w:val="en-US"/>
        </w:rPr>
        <w:t>ff</w:t>
      </w:r>
      <w:proofErr w:type="spellEnd"/>
      <w:r w:rsidRPr="000E64CD">
        <w:rPr>
          <w:rFonts w:asciiTheme="minorHAnsi" w:hAnsiTheme="minorHAnsi" w:cs="Arial"/>
          <w:lang w:val="en-US"/>
        </w:rPr>
        <w:t xml:space="preserve">-Balance Sheet Items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4. Net Profit Margin (NPM) = Net Income before taxes/Total revenues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5. Net interest rate margin (NIM) = Net revenues from interest/Total assets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b/>
        </w:rPr>
      </w:pPr>
      <w:r w:rsidRPr="000E64CD">
        <w:rPr>
          <w:rFonts w:asciiTheme="minorHAnsi" w:hAnsiTheme="minorHAnsi" w:cs="Arial"/>
          <w:b/>
          <w:lang w:val="en-US"/>
        </w:rPr>
        <w:t xml:space="preserve">B) Productivity Indicators </w:t>
      </w:r>
      <w:r w:rsidRPr="000E64CD">
        <w:rPr>
          <w:rFonts w:asciiTheme="minorHAnsi" w:hAnsiTheme="minorHAnsi" w:cs="Arial"/>
          <w:b/>
        </w:rPr>
        <w:t>(Παραγωγ</w:t>
      </w:r>
      <w:r>
        <w:rPr>
          <w:rFonts w:asciiTheme="minorHAnsi" w:hAnsiTheme="minorHAnsi" w:cs="Arial"/>
          <w:b/>
        </w:rPr>
        <w:t>ι</w:t>
      </w:r>
      <w:r w:rsidRPr="000E64CD">
        <w:rPr>
          <w:rFonts w:asciiTheme="minorHAnsi" w:hAnsiTheme="minorHAnsi" w:cs="Arial"/>
          <w:b/>
        </w:rPr>
        <w:t>κότητας)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1. Total assets/Total employees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2. Net Income before taxes/Total employees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3. Total revenues/Total loans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4. % change in total assets per year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5. % change in total assets plus off-balance sheet items per year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b/>
        </w:rPr>
      </w:pPr>
      <w:r w:rsidRPr="000E64CD">
        <w:rPr>
          <w:rFonts w:asciiTheme="minorHAnsi" w:hAnsiTheme="minorHAnsi" w:cs="Arial"/>
          <w:b/>
          <w:lang w:val="en-US"/>
        </w:rPr>
        <w:t xml:space="preserve">C) Operating Indicators </w:t>
      </w:r>
      <w:r w:rsidRPr="000E64CD">
        <w:rPr>
          <w:rFonts w:asciiTheme="minorHAnsi" w:hAnsiTheme="minorHAnsi" w:cs="Arial"/>
          <w:b/>
        </w:rPr>
        <w:t>(Λειτουργίας)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1. Total Operating Efficiency = Operating expenses/Operating revenues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2. Total revenues/Personnel and management expenses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3. Total expenses/ Personnel and management expenses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4. Total expenses/Total assets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5. Total expenses from interest paid/Total assets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6. Total expenses (except interest paid)/Total assets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b/>
        </w:rPr>
      </w:pPr>
      <w:r w:rsidRPr="000E64CD">
        <w:rPr>
          <w:rFonts w:asciiTheme="minorHAnsi" w:hAnsiTheme="minorHAnsi" w:cs="Arial"/>
          <w:b/>
          <w:lang w:val="en-US"/>
        </w:rPr>
        <w:t xml:space="preserve">D) Liquidity Indicators </w:t>
      </w:r>
      <w:r w:rsidRPr="000E64CD">
        <w:rPr>
          <w:rFonts w:asciiTheme="minorHAnsi" w:hAnsiTheme="minorHAnsi" w:cs="Arial"/>
          <w:b/>
        </w:rPr>
        <w:t>(Ρευστότητας)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1. Total loans/Total deposits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2. Total loans/Total assets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3. Cash plus reserves plus securities/Total assets 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b/>
        </w:rPr>
      </w:pPr>
      <w:r w:rsidRPr="000E64CD">
        <w:rPr>
          <w:rFonts w:asciiTheme="minorHAnsi" w:hAnsiTheme="minorHAnsi" w:cs="Arial"/>
          <w:b/>
          <w:lang w:val="en-US"/>
        </w:rPr>
        <w:t>E) Solvency Ratio (</w:t>
      </w:r>
      <w:r w:rsidRPr="000E64CD">
        <w:rPr>
          <w:rFonts w:asciiTheme="minorHAnsi" w:hAnsiTheme="minorHAnsi" w:cs="Arial"/>
          <w:b/>
        </w:rPr>
        <w:t>Φερεγγυότητας)</w:t>
      </w:r>
    </w:p>
    <w:p w:rsidR="000E64CD" w:rsidRPr="000E64CD" w:rsidRDefault="000E64CD" w:rsidP="000E64CD">
      <w:pPr>
        <w:pStyle w:val="Default"/>
        <w:spacing w:line="360" w:lineRule="auto"/>
        <w:jc w:val="both"/>
        <w:rPr>
          <w:rFonts w:asciiTheme="minorHAnsi" w:hAnsiTheme="minorHAnsi" w:cs="Arial"/>
          <w:lang w:val="en-US"/>
        </w:rPr>
      </w:pPr>
      <w:r w:rsidRPr="000E64CD">
        <w:rPr>
          <w:rFonts w:asciiTheme="minorHAnsi" w:hAnsiTheme="minorHAnsi" w:cs="Arial"/>
          <w:lang w:val="en-US"/>
        </w:rPr>
        <w:t xml:space="preserve">1. Total equity/Total assets </w:t>
      </w:r>
    </w:p>
    <w:sectPr w:rsidR="000E64CD" w:rsidRPr="000E64CD" w:rsidSect="000E64CD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E64CD"/>
    <w:rsid w:val="000E64CD"/>
    <w:rsid w:val="000F4196"/>
    <w:rsid w:val="002D30F5"/>
    <w:rsid w:val="005318A5"/>
    <w:rsid w:val="009B27A3"/>
    <w:rsid w:val="00DD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2016-03-27T15:01:00Z</dcterms:created>
  <dcterms:modified xsi:type="dcterms:W3CDTF">2016-03-27T15:01:00Z</dcterms:modified>
</cp:coreProperties>
</file>