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243" w:rsidRPr="00252243" w:rsidRDefault="00252243" w:rsidP="00252243">
      <w:pPr>
        <w:pStyle w:val="berschrift1"/>
        <w:spacing w:before="0" w:beforeAutospacing="0" w:after="0" w:afterAutospacing="0"/>
        <w:textAlignment w:val="top"/>
        <w:rPr>
          <w:rFonts w:ascii="Arial" w:hAnsi="Arial" w:cs="Arial"/>
          <w:b/>
          <w:bCs/>
          <w:color w:val="003366"/>
          <w:sz w:val="64"/>
          <w:szCs w:val="64"/>
          <w:lang w:val="en-US"/>
        </w:rPr>
      </w:pPr>
      <w:r w:rsidRPr="00252243">
        <w:rPr>
          <w:rFonts w:ascii="Arial" w:hAnsi="Arial" w:cs="Arial"/>
          <w:b/>
          <w:bCs/>
          <w:color w:val="003366"/>
          <w:sz w:val="64"/>
          <w:szCs w:val="64"/>
          <w:lang w:val="en-US"/>
        </w:rPr>
        <w:t>Glossary</w:t>
      </w:r>
      <w:bookmarkStart w:id="0" w:name="lid928"/>
      <w:bookmarkEnd w:id="0"/>
    </w:p>
    <w:p w:rsid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p>
    <w:p w:rsidR="00252243" w:rsidRP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r w:rsidRPr="00252243">
        <w:rPr>
          <w:rFonts w:ascii="Arial" w:hAnsi="Arial" w:cs="Arial"/>
          <w:b/>
          <w:color w:val="003366"/>
          <w:lang w:val="en-US"/>
        </w:rPr>
        <w:t>Book value per share</w:t>
      </w:r>
      <w:bookmarkStart w:id="1" w:name="lid929"/>
      <w:bookmarkEnd w:id="1"/>
    </w:p>
    <w:p w:rsidR="00252243" w:rsidRPr="00252243" w:rsidRDefault="00252243" w:rsidP="00252243">
      <w:pPr>
        <w:pStyle w:val="standard"/>
        <w:spacing w:before="0" w:beforeAutospacing="0" w:after="0" w:afterAutospacing="0" w:line="360" w:lineRule="auto"/>
        <w:jc w:val="both"/>
        <w:rPr>
          <w:rFonts w:ascii="Arial" w:hAnsi="Arial" w:cs="Arial"/>
          <w:color w:val="000000"/>
          <w:lang w:val="en-US"/>
        </w:rPr>
      </w:pPr>
      <w:r w:rsidRPr="00252243">
        <w:rPr>
          <w:rFonts w:ascii="Arial" w:hAnsi="Arial" w:cs="Arial"/>
          <w:color w:val="000000"/>
          <w:lang w:val="en-US"/>
        </w:rPr>
        <w:t>Total equity attributable to owners of the parent of a public company, excluding participation capital, divided by the number of shares outstanding (excluding treasury shares).</w:t>
      </w:r>
      <w:bookmarkStart w:id="2" w:name="lid92a"/>
      <w:bookmarkEnd w:id="2"/>
    </w:p>
    <w:p w:rsid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p>
    <w:p w:rsidR="00252243" w:rsidRPr="00252243" w:rsidRDefault="00252243" w:rsidP="00252243">
      <w:pPr>
        <w:pStyle w:val="berschrift5"/>
        <w:spacing w:before="0" w:beforeAutospacing="0" w:after="0" w:afterAutospacing="0" w:line="360" w:lineRule="auto"/>
        <w:jc w:val="both"/>
        <w:textAlignment w:val="top"/>
        <w:rPr>
          <w:rFonts w:ascii="Arial" w:hAnsi="Arial" w:cs="Arial"/>
          <w:b/>
          <w:color w:val="003366"/>
        </w:rPr>
      </w:pPr>
      <w:r w:rsidRPr="00252243">
        <w:rPr>
          <w:rFonts w:ascii="Arial" w:hAnsi="Arial" w:cs="Arial"/>
          <w:b/>
          <w:color w:val="003366"/>
        </w:rPr>
        <w:t>Cash return on equity</w:t>
      </w:r>
      <w:bookmarkStart w:id="3" w:name="lid92c"/>
      <w:bookmarkEnd w:id="3"/>
    </w:p>
    <w:p w:rsidR="00252243" w:rsidRPr="00252243" w:rsidRDefault="00252243" w:rsidP="00252243">
      <w:pPr>
        <w:pStyle w:val="standard"/>
        <w:spacing w:before="0" w:beforeAutospacing="0" w:after="0" w:afterAutospacing="0" w:line="360" w:lineRule="auto"/>
        <w:jc w:val="both"/>
        <w:rPr>
          <w:rFonts w:ascii="Arial" w:hAnsi="Arial" w:cs="Arial"/>
          <w:color w:val="000000"/>
          <w:lang w:val="en-US"/>
        </w:rPr>
      </w:pPr>
      <w:r w:rsidRPr="00252243">
        <w:rPr>
          <w:rFonts w:ascii="Arial" w:hAnsi="Arial" w:cs="Arial"/>
          <w:color w:val="000000"/>
          <w:lang w:val="en-US"/>
        </w:rPr>
        <w:t xml:space="preserve">Also referred to as cash ROE. Calculated as return on equity, but excluding the impact of non-cash items on net profit/loss for the year attributable to owners of the parent such as goodwill impairment and </w:t>
      </w:r>
      <w:proofErr w:type="spellStart"/>
      <w:r w:rsidRPr="00252243">
        <w:rPr>
          <w:rFonts w:ascii="Arial" w:hAnsi="Arial" w:cs="Arial"/>
          <w:color w:val="000000"/>
          <w:lang w:val="en-US"/>
        </w:rPr>
        <w:t>amortisation</w:t>
      </w:r>
      <w:proofErr w:type="spellEnd"/>
      <w:r w:rsidRPr="00252243">
        <w:rPr>
          <w:rFonts w:ascii="Arial" w:hAnsi="Arial" w:cs="Arial"/>
          <w:color w:val="000000"/>
          <w:lang w:val="en-US"/>
        </w:rPr>
        <w:t xml:space="preserve"> of customer relationships.</w:t>
      </w:r>
      <w:bookmarkStart w:id="4" w:name="lid92d"/>
      <w:bookmarkEnd w:id="4"/>
    </w:p>
    <w:p w:rsid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p>
    <w:p w:rsidR="00252243" w:rsidRP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r w:rsidRPr="00252243">
        <w:rPr>
          <w:rFonts w:ascii="Arial" w:hAnsi="Arial" w:cs="Arial"/>
          <w:b/>
          <w:color w:val="003366"/>
          <w:lang w:val="en-US"/>
        </w:rPr>
        <w:t>Cash earnings per share</w:t>
      </w:r>
      <w:bookmarkStart w:id="5" w:name="lid92f"/>
      <w:bookmarkEnd w:id="5"/>
    </w:p>
    <w:p w:rsidR="00252243" w:rsidRPr="00252243" w:rsidRDefault="00252243" w:rsidP="00252243">
      <w:pPr>
        <w:pStyle w:val="standard"/>
        <w:spacing w:before="0" w:beforeAutospacing="0" w:after="0" w:afterAutospacing="0" w:line="360" w:lineRule="auto"/>
        <w:jc w:val="both"/>
        <w:rPr>
          <w:rFonts w:ascii="Arial" w:hAnsi="Arial" w:cs="Arial"/>
          <w:color w:val="000000"/>
          <w:lang w:val="en-US"/>
        </w:rPr>
      </w:pPr>
      <w:r w:rsidRPr="00252243">
        <w:rPr>
          <w:rFonts w:ascii="Arial" w:hAnsi="Arial" w:cs="Arial"/>
          <w:color w:val="000000"/>
          <w:lang w:val="en-US"/>
        </w:rPr>
        <w:t xml:space="preserve">Calculated as earnings per share based on net profit/loss for the year attributable to owners of the parent, adjusted for dividends on participation capital, excluding goodwill impairments and </w:t>
      </w:r>
      <w:proofErr w:type="spellStart"/>
      <w:r w:rsidRPr="00252243">
        <w:rPr>
          <w:rFonts w:ascii="Arial" w:hAnsi="Arial" w:cs="Arial"/>
          <w:color w:val="000000"/>
          <w:lang w:val="en-US"/>
        </w:rPr>
        <w:t>amortisation</w:t>
      </w:r>
      <w:proofErr w:type="spellEnd"/>
      <w:r w:rsidRPr="00252243">
        <w:rPr>
          <w:rFonts w:ascii="Arial" w:hAnsi="Arial" w:cs="Arial"/>
          <w:color w:val="000000"/>
          <w:lang w:val="en-US"/>
        </w:rPr>
        <w:t xml:space="preserve"> of customer relationships.</w:t>
      </w:r>
      <w:bookmarkStart w:id="6" w:name="lid930"/>
      <w:bookmarkEnd w:id="6"/>
    </w:p>
    <w:p w:rsid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p>
    <w:p w:rsidR="00252243" w:rsidRP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r w:rsidRPr="00252243">
        <w:rPr>
          <w:rFonts w:ascii="Arial" w:hAnsi="Arial" w:cs="Arial"/>
          <w:b/>
          <w:color w:val="003366"/>
          <w:lang w:val="en-US"/>
        </w:rPr>
        <w:t>CEE (Central and Eastern Europe)</w:t>
      </w:r>
      <w:bookmarkStart w:id="7" w:name="lid932"/>
      <w:bookmarkEnd w:id="7"/>
    </w:p>
    <w:p w:rsidR="00252243" w:rsidRPr="00252243" w:rsidRDefault="00252243" w:rsidP="00252243">
      <w:pPr>
        <w:pStyle w:val="standard"/>
        <w:spacing w:before="0" w:beforeAutospacing="0" w:after="0" w:afterAutospacing="0" w:line="360" w:lineRule="auto"/>
        <w:jc w:val="both"/>
        <w:rPr>
          <w:rFonts w:ascii="Arial" w:hAnsi="Arial" w:cs="Arial"/>
          <w:color w:val="000000"/>
          <w:lang w:val="en-US"/>
        </w:rPr>
      </w:pPr>
      <w:r w:rsidRPr="00252243">
        <w:rPr>
          <w:rFonts w:ascii="Arial" w:hAnsi="Arial" w:cs="Arial"/>
          <w:color w:val="000000"/>
          <w:lang w:val="en-US"/>
        </w:rPr>
        <w:t>Encompasses the new member states of the EU that joined in 2004 and 2007, the CIS countries, states that evolved from the former Yugoslavia, as well as Albania.</w:t>
      </w:r>
      <w:bookmarkStart w:id="8" w:name="lid933"/>
      <w:bookmarkEnd w:id="8"/>
    </w:p>
    <w:p w:rsid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p>
    <w:p w:rsidR="00252243" w:rsidRP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r w:rsidRPr="00252243">
        <w:rPr>
          <w:rFonts w:ascii="Arial" w:hAnsi="Arial" w:cs="Arial"/>
          <w:b/>
          <w:color w:val="003366"/>
          <w:lang w:val="en-US"/>
        </w:rPr>
        <w:t>Core tier1 ratio (total risk in</w:t>
      </w:r>
      <w:r>
        <w:rPr>
          <w:rFonts w:ascii="Arial" w:hAnsi="Arial" w:cs="Arial"/>
          <w:b/>
          <w:color w:val="003366"/>
          <w:lang w:val="en-US"/>
        </w:rPr>
        <w:t xml:space="preserve"> </w:t>
      </w:r>
      <w:r w:rsidRPr="00252243">
        <w:rPr>
          <w:rFonts w:ascii="Arial" w:hAnsi="Arial" w:cs="Arial"/>
          <w:b/>
          <w:color w:val="003366"/>
          <w:lang w:val="en-US"/>
        </w:rPr>
        <w:t>%)</w:t>
      </w:r>
      <w:bookmarkStart w:id="9" w:name="lid935"/>
      <w:bookmarkEnd w:id="9"/>
    </w:p>
    <w:p w:rsidR="00252243" w:rsidRPr="00252243" w:rsidRDefault="00252243" w:rsidP="00252243">
      <w:pPr>
        <w:pStyle w:val="standard"/>
        <w:spacing w:before="0" w:beforeAutospacing="0" w:after="0" w:afterAutospacing="0" w:line="360" w:lineRule="auto"/>
        <w:jc w:val="both"/>
        <w:rPr>
          <w:rFonts w:ascii="Arial" w:hAnsi="Arial" w:cs="Arial"/>
          <w:color w:val="000000"/>
          <w:lang w:val="en-US"/>
        </w:rPr>
      </w:pPr>
      <w:r w:rsidRPr="00252243">
        <w:rPr>
          <w:rFonts w:ascii="Arial" w:hAnsi="Arial" w:cs="Arial"/>
          <w:color w:val="000000"/>
          <w:lang w:val="en-US"/>
        </w:rPr>
        <w:t>The ratio of tier1 capital (excluding hybrid capital pursuant to Section 23 (4a) and (4b) of the Austrian Banking Act) after regulatory deductions to the calculation basis for the capital requirement pursuant to Section 22 (1) of the Austrian Banking Act.</w:t>
      </w:r>
      <w:bookmarkStart w:id="10" w:name="lid936"/>
      <w:bookmarkEnd w:id="10"/>
    </w:p>
    <w:p w:rsid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p>
    <w:p w:rsidR="00252243" w:rsidRP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r w:rsidRPr="00252243">
        <w:rPr>
          <w:rFonts w:ascii="Arial" w:hAnsi="Arial" w:cs="Arial"/>
          <w:b/>
          <w:color w:val="003366"/>
          <w:lang w:val="en-US"/>
        </w:rPr>
        <w:t>Cost/income ratio</w:t>
      </w:r>
      <w:bookmarkStart w:id="11" w:name="lid938"/>
      <w:bookmarkEnd w:id="11"/>
    </w:p>
    <w:p w:rsidR="00252243" w:rsidRPr="00252243" w:rsidRDefault="00252243" w:rsidP="00252243">
      <w:pPr>
        <w:pStyle w:val="standard"/>
        <w:spacing w:before="0" w:beforeAutospacing="0" w:after="0" w:afterAutospacing="0" w:line="360" w:lineRule="auto"/>
        <w:jc w:val="both"/>
        <w:rPr>
          <w:rFonts w:ascii="Arial" w:hAnsi="Arial" w:cs="Arial"/>
          <w:color w:val="000000"/>
          <w:lang w:val="en-US"/>
        </w:rPr>
      </w:pPr>
      <w:r w:rsidRPr="00252243">
        <w:rPr>
          <w:rFonts w:ascii="Arial" w:hAnsi="Arial" w:cs="Arial"/>
          <w:color w:val="000000"/>
          <w:lang w:val="en-US"/>
        </w:rPr>
        <w:t>General administrative expenses as a percentage of operating income.</w:t>
      </w:r>
      <w:bookmarkStart w:id="12" w:name="lid939"/>
      <w:bookmarkEnd w:id="12"/>
    </w:p>
    <w:p w:rsid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p>
    <w:p w:rsidR="00252243" w:rsidRP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r w:rsidRPr="00252243">
        <w:rPr>
          <w:rFonts w:ascii="Arial" w:hAnsi="Arial" w:cs="Arial"/>
          <w:b/>
          <w:color w:val="003366"/>
          <w:lang w:val="en-US"/>
        </w:rPr>
        <w:lastRenderedPageBreak/>
        <w:t>Dividend yield</w:t>
      </w:r>
      <w:bookmarkStart w:id="13" w:name="lid93b"/>
      <w:bookmarkEnd w:id="13"/>
    </w:p>
    <w:p w:rsidR="00252243" w:rsidRPr="00252243" w:rsidRDefault="00252243" w:rsidP="00252243">
      <w:pPr>
        <w:pStyle w:val="standard"/>
        <w:spacing w:before="0" w:beforeAutospacing="0" w:after="0" w:afterAutospacing="0" w:line="360" w:lineRule="auto"/>
        <w:jc w:val="both"/>
        <w:rPr>
          <w:rFonts w:ascii="Arial" w:hAnsi="Arial" w:cs="Arial"/>
          <w:color w:val="000000"/>
          <w:lang w:val="en-US"/>
        </w:rPr>
      </w:pPr>
      <w:r w:rsidRPr="00252243">
        <w:rPr>
          <w:rFonts w:ascii="Arial" w:hAnsi="Arial" w:cs="Arial"/>
          <w:color w:val="000000"/>
          <w:lang w:val="en-US"/>
        </w:rPr>
        <w:t>Dividend payment of the financial year as a percentage of the year-end closing price or the most recent price of the share.</w:t>
      </w:r>
      <w:bookmarkStart w:id="14" w:name="lid93c"/>
      <w:bookmarkEnd w:id="14"/>
    </w:p>
    <w:p w:rsid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p>
    <w:p w:rsidR="00252243" w:rsidRP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r w:rsidRPr="00252243">
        <w:rPr>
          <w:rFonts w:ascii="Arial" w:hAnsi="Arial" w:cs="Arial"/>
          <w:b/>
          <w:color w:val="003366"/>
          <w:lang w:val="en-US"/>
        </w:rPr>
        <w:t>Earnings per share</w:t>
      </w:r>
      <w:bookmarkStart w:id="15" w:name="lid93e"/>
      <w:bookmarkEnd w:id="15"/>
    </w:p>
    <w:p w:rsidR="00252243" w:rsidRPr="00252243" w:rsidRDefault="00252243" w:rsidP="00252243">
      <w:pPr>
        <w:pStyle w:val="standard"/>
        <w:spacing w:before="0" w:beforeAutospacing="0" w:after="0" w:afterAutospacing="0" w:line="360" w:lineRule="auto"/>
        <w:jc w:val="both"/>
        <w:rPr>
          <w:rFonts w:ascii="Arial" w:hAnsi="Arial" w:cs="Arial"/>
          <w:color w:val="000000"/>
          <w:lang w:val="en-US"/>
        </w:rPr>
      </w:pPr>
      <w:r w:rsidRPr="00252243">
        <w:rPr>
          <w:rFonts w:ascii="Arial" w:hAnsi="Arial" w:cs="Arial"/>
          <w:color w:val="000000"/>
          <w:lang w:val="en-US"/>
        </w:rPr>
        <w:t>Net profit for the year attributable to owners of the parent adjusted for dividends of participation capital, divided by average shares outstanding.</w:t>
      </w:r>
      <w:bookmarkStart w:id="16" w:name="lid93f"/>
      <w:bookmarkEnd w:id="16"/>
    </w:p>
    <w:p w:rsid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p>
    <w:p w:rsidR="00252243" w:rsidRP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r w:rsidRPr="00252243">
        <w:rPr>
          <w:rFonts w:ascii="Arial" w:hAnsi="Arial" w:cs="Arial"/>
          <w:b/>
          <w:color w:val="003366"/>
          <w:lang w:val="en-US"/>
        </w:rPr>
        <w:t>Interest-bearing assets</w:t>
      </w:r>
      <w:bookmarkStart w:id="17" w:name="lid941"/>
      <w:bookmarkEnd w:id="17"/>
    </w:p>
    <w:p w:rsidR="00252243" w:rsidRPr="00252243" w:rsidRDefault="00252243" w:rsidP="00252243">
      <w:pPr>
        <w:pStyle w:val="standard"/>
        <w:spacing w:before="0" w:beforeAutospacing="0" w:after="0" w:afterAutospacing="0" w:line="360" w:lineRule="auto"/>
        <w:jc w:val="both"/>
        <w:rPr>
          <w:rFonts w:ascii="Arial" w:hAnsi="Arial" w:cs="Arial"/>
          <w:color w:val="000000"/>
          <w:lang w:val="en-US"/>
        </w:rPr>
      </w:pPr>
      <w:r w:rsidRPr="00252243">
        <w:rPr>
          <w:rFonts w:ascii="Arial" w:hAnsi="Arial" w:cs="Arial"/>
          <w:color w:val="000000"/>
          <w:lang w:val="en-US"/>
        </w:rPr>
        <w:t>Total assets less cash, derivative financial instruments, tangible and intangible assets, tax assets, assets held for sale and other assets.</w:t>
      </w:r>
      <w:bookmarkStart w:id="18" w:name="lid942"/>
      <w:bookmarkEnd w:id="18"/>
    </w:p>
    <w:p w:rsid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p>
    <w:p w:rsidR="00252243" w:rsidRP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r w:rsidRPr="00252243">
        <w:rPr>
          <w:rFonts w:ascii="Arial" w:hAnsi="Arial" w:cs="Arial"/>
          <w:b/>
          <w:color w:val="003366"/>
          <w:lang w:val="en-US"/>
        </w:rPr>
        <w:t>Net interest margin</w:t>
      </w:r>
      <w:bookmarkStart w:id="19" w:name="lid944"/>
      <w:bookmarkEnd w:id="19"/>
    </w:p>
    <w:p w:rsidR="00252243" w:rsidRPr="00252243" w:rsidRDefault="00252243" w:rsidP="00252243">
      <w:pPr>
        <w:pStyle w:val="standard"/>
        <w:spacing w:before="0" w:beforeAutospacing="0" w:after="0" w:afterAutospacing="0" w:line="360" w:lineRule="auto"/>
        <w:jc w:val="both"/>
        <w:rPr>
          <w:rFonts w:ascii="Arial" w:hAnsi="Arial" w:cs="Arial"/>
          <w:color w:val="000000"/>
          <w:lang w:val="en-US"/>
        </w:rPr>
      </w:pPr>
      <w:r w:rsidRPr="00252243">
        <w:rPr>
          <w:rFonts w:ascii="Arial" w:hAnsi="Arial" w:cs="Arial"/>
          <w:color w:val="000000"/>
          <w:lang w:val="en-US"/>
        </w:rPr>
        <w:t>Net interest income as a percentage of average interest-bearing assets, calculated on a monthly basis.</w:t>
      </w:r>
      <w:bookmarkStart w:id="20" w:name="lid945"/>
      <w:bookmarkEnd w:id="20"/>
    </w:p>
    <w:p w:rsid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p>
    <w:p w:rsidR="00252243" w:rsidRP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r w:rsidRPr="00252243">
        <w:rPr>
          <w:rFonts w:ascii="Arial" w:hAnsi="Arial" w:cs="Arial"/>
          <w:b/>
          <w:color w:val="003366"/>
          <w:lang w:val="en-US"/>
        </w:rPr>
        <w:t>Operating income</w:t>
      </w:r>
      <w:bookmarkStart w:id="21" w:name="lid947"/>
      <w:bookmarkEnd w:id="21"/>
    </w:p>
    <w:p w:rsidR="00252243" w:rsidRPr="00252243" w:rsidRDefault="00252243" w:rsidP="00252243">
      <w:pPr>
        <w:pStyle w:val="standard"/>
        <w:spacing w:before="0" w:beforeAutospacing="0" w:after="0" w:afterAutospacing="0" w:line="360" w:lineRule="auto"/>
        <w:jc w:val="both"/>
        <w:rPr>
          <w:rFonts w:ascii="Arial" w:hAnsi="Arial" w:cs="Arial"/>
          <w:color w:val="000000"/>
          <w:lang w:val="en-US"/>
        </w:rPr>
      </w:pPr>
      <w:r w:rsidRPr="00252243">
        <w:rPr>
          <w:rFonts w:ascii="Arial" w:hAnsi="Arial" w:cs="Arial"/>
          <w:color w:val="000000"/>
          <w:lang w:val="en-US"/>
        </w:rPr>
        <w:t>Consists of net interest income, net commission income and trading result.</w:t>
      </w:r>
      <w:bookmarkStart w:id="22" w:name="lid948"/>
      <w:bookmarkEnd w:id="22"/>
    </w:p>
    <w:p w:rsid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p>
    <w:p w:rsidR="00252243" w:rsidRP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r w:rsidRPr="00252243">
        <w:rPr>
          <w:rFonts w:ascii="Arial" w:hAnsi="Arial" w:cs="Arial"/>
          <w:b/>
          <w:color w:val="003366"/>
          <w:lang w:val="en-US"/>
        </w:rPr>
        <w:t>Operating result</w:t>
      </w:r>
      <w:bookmarkStart w:id="23" w:name="lid94a"/>
      <w:bookmarkEnd w:id="23"/>
    </w:p>
    <w:p w:rsidR="00252243" w:rsidRPr="00252243" w:rsidRDefault="00252243" w:rsidP="00252243">
      <w:pPr>
        <w:pStyle w:val="standard"/>
        <w:spacing w:before="0" w:beforeAutospacing="0" w:after="0" w:afterAutospacing="0" w:line="360" w:lineRule="auto"/>
        <w:jc w:val="both"/>
        <w:rPr>
          <w:rFonts w:ascii="Arial" w:hAnsi="Arial" w:cs="Arial"/>
          <w:color w:val="000000"/>
          <w:lang w:val="en-US"/>
        </w:rPr>
      </w:pPr>
      <w:r w:rsidRPr="00252243">
        <w:rPr>
          <w:rFonts w:ascii="Arial" w:hAnsi="Arial" w:cs="Arial"/>
          <w:color w:val="000000"/>
          <w:lang w:val="en-US"/>
        </w:rPr>
        <w:t>Operating income less operating expenses (i.e. general administrative expenses).</w:t>
      </w:r>
      <w:bookmarkStart w:id="24" w:name="lid94b"/>
      <w:bookmarkEnd w:id="24"/>
    </w:p>
    <w:p w:rsid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p>
    <w:p w:rsidR="00252243" w:rsidRP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r w:rsidRPr="00252243">
        <w:rPr>
          <w:rFonts w:ascii="Arial" w:hAnsi="Arial" w:cs="Arial"/>
          <w:b/>
          <w:color w:val="003366"/>
          <w:lang w:val="en-US"/>
        </w:rPr>
        <w:t>Price/earnings ratio</w:t>
      </w:r>
      <w:bookmarkStart w:id="25" w:name="lid94d"/>
      <w:bookmarkEnd w:id="25"/>
    </w:p>
    <w:p w:rsidR="00252243" w:rsidRPr="00252243" w:rsidRDefault="00252243" w:rsidP="00252243">
      <w:pPr>
        <w:pStyle w:val="standard"/>
        <w:spacing w:before="0" w:beforeAutospacing="0" w:after="0" w:afterAutospacing="0" w:line="360" w:lineRule="auto"/>
        <w:jc w:val="both"/>
        <w:rPr>
          <w:rFonts w:ascii="Arial" w:hAnsi="Arial" w:cs="Arial"/>
          <w:color w:val="000000"/>
          <w:lang w:val="en-US"/>
        </w:rPr>
      </w:pPr>
      <w:r w:rsidRPr="00252243">
        <w:rPr>
          <w:rFonts w:ascii="Arial" w:hAnsi="Arial" w:cs="Arial"/>
          <w:color w:val="000000"/>
          <w:lang w:val="en-US"/>
        </w:rPr>
        <w:t>Closing share price of the financial year divided by earnings per share. Usually used for valuation comparisons.</w:t>
      </w:r>
      <w:bookmarkStart w:id="26" w:name="lid94e"/>
      <w:bookmarkEnd w:id="26"/>
    </w:p>
    <w:p w:rsid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p>
    <w:p w:rsidR="00252243" w:rsidRP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r w:rsidRPr="00252243">
        <w:rPr>
          <w:rFonts w:ascii="Arial" w:hAnsi="Arial" w:cs="Arial"/>
          <w:b/>
          <w:color w:val="003366"/>
          <w:lang w:val="en-US"/>
        </w:rPr>
        <w:t xml:space="preserve">Market </w:t>
      </w:r>
      <w:proofErr w:type="spellStart"/>
      <w:r w:rsidRPr="00252243">
        <w:rPr>
          <w:rFonts w:ascii="Arial" w:hAnsi="Arial" w:cs="Arial"/>
          <w:b/>
          <w:color w:val="003366"/>
          <w:lang w:val="en-US"/>
        </w:rPr>
        <w:t>capitalisation</w:t>
      </w:r>
      <w:bookmarkStart w:id="27" w:name="lid950"/>
      <w:bookmarkEnd w:id="27"/>
      <w:proofErr w:type="spellEnd"/>
    </w:p>
    <w:p w:rsidR="00252243" w:rsidRPr="00252243" w:rsidRDefault="00252243" w:rsidP="00252243">
      <w:pPr>
        <w:pStyle w:val="standard"/>
        <w:spacing w:before="0" w:beforeAutospacing="0" w:after="0" w:afterAutospacing="0" w:line="360" w:lineRule="auto"/>
        <w:jc w:val="both"/>
        <w:rPr>
          <w:rFonts w:ascii="Arial" w:hAnsi="Arial" w:cs="Arial"/>
          <w:color w:val="000000"/>
          <w:lang w:val="en-US"/>
        </w:rPr>
      </w:pPr>
      <w:r w:rsidRPr="00252243">
        <w:rPr>
          <w:rFonts w:ascii="Arial" w:hAnsi="Arial" w:cs="Arial"/>
          <w:color w:val="000000"/>
          <w:lang w:val="en-US"/>
        </w:rPr>
        <w:t>Overall value of a company calculated by multiplying the share price by the number of shares outstanding.</w:t>
      </w:r>
      <w:bookmarkStart w:id="28" w:name="lid951"/>
      <w:bookmarkEnd w:id="28"/>
    </w:p>
    <w:p w:rsid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p>
    <w:p w:rsidR="00252243" w:rsidRP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r w:rsidRPr="00252243">
        <w:rPr>
          <w:rFonts w:ascii="Arial" w:hAnsi="Arial" w:cs="Arial"/>
          <w:b/>
          <w:color w:val="003366"/>
          <w:lang w:val="en-US"/>
        </w:rPr>
        <w:t>Non-performing exposure (NPE) coverage ratio</w:t>
      </w:r>
      <w:bookmarkStart w:id="29" w:name="lid953"/>
      <w:bookmarkEnd w:id="29"/>
    </w:p>
    <w:p w:rsidR="00252243" w:rsidRPr="00252243" w:rsidRDefault="00252243" w:rsidP="00252243">
      <w:pPr>
        <w:pStyle w:val="standard"/>
        <w:spacing w:before="0" w:beforeAutospacing="0" w:after="0" w:afterAutospacing="0" w:line="360" w:lineRule="auto"/>
        <w:jc w:val="both"/>
        <w:rPr>
          <w:rFonts w:ascii="Arial" w:hAnsi="Arial" w:cs="Arial"/>
          <w:color w:val="000000"/>
          <w:lang w:val="en-US"/>
        </w:rPr>
      </w:pPr>
      <w:r w:rsidRPr="00252243">
        <w:rPr>
          <w:rFonts w:ascii="Arial" w:hAnsi="Arial" w:cs="Arial"/>
          <w:color w:val="000000"/>
          <w:lang w:val="en-US"/>
        </w:rPr>
        <w:t>Risk provisions for the credit risk exposure as a percentage of the non-performing credit risk exposure.</w:t>
      </w:r>
      <w:bookmarkStart w:id="30" w:name="lid954"/>
      <w:bookmarkEnd w:id="30"/>
    </w:p>
    <w:p w:rsidR="00252243" w:rsidRP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r w:rsidRPr="00252243">
        <w:rPr>
          <w:rFonts w:ascii="Arial" w:hAnsi="Arial" w:cs="Arial"/>
          <w:b/>
          <w:color w:val="003366"/>
          <w:lang w:val="en-US"/>
        </w:rPr>
        <w:lastRenderedPageBreak/>
        <w:t>Non-performing exposure (NPE) ratio</w:t>
      </w:r>
      <w:bookmarkStart w:id="31" w:name="lid956"/>
      <w:bookmarkEnd w:id="31"/>
    </w:p>
    <w:p w:rsidR="00252243" w:rsidRPr="00252243" w:rsidRDefault="00252243" w:rsidP="00252243">
      <w:pPr>
        <w:pStyle w:val="standard"/>
        <w:spacing w:before="0" w:beforeAutospacing="0" w:after="0" w:afterAutospacing="0" w:line="360" w:lineRule="auto"/>
        <w:jc w:val="both"/>
        <w:rPr>
          <w:rFonts w:ascii="Arial" w:hAnsi="Arial" w:cs="Arial"/>
          <w:color w:val="000000"/>
          <w:lang w:val="en-US"/>
        </w:rPr>
      </w:pPr>
      <w:r w:rsidRPr="00252243">
        <w:rPr>
          <w:rFonts w:ascii="Arial" w:hAnsi="Arial" w:cs="Arial"/>
          <w:color w:val="000000"/>
          <w:lang w:val="en-US"/>
        </w:rPr>
        <w:t>Non-performing credit risk exposure as a percentage of total credit risk exposure.</w:t>
      </w:r>
      <w:bookmarkStart w:id="32" w:name="lid957"/>
      <w:bookmarkEnd w:id="32"/>
    </w:p>
    <w:p w:rsid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p>
    <w:p w:rsidR="00252243" w:rsidRP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r w:rsidRPr="00252243">
        <w:rPr>
          <w:rFonts w:ascii="Arial" w:hAnsi="Arial" w:cs="Arial"/>
          <w:b/>
          <w:color w:val="003366"/>
          <w:lang w:val="en-US"/>
        </w:rPr>
        <w:t>Non-performing loans (NPL) coverage ratio</w:t>
      </w:r>
      <w:bookmarkStart w:id="33" w:name="lid959"/>
      <w:bookmarkEnd w:id="33"/>
    </w:p>
    <w:p w:rsidR="00252243" w:rsidRPr="00252243" w:rsidRDefault="00252243" w:rsidP="00252243">
      <w:pPr>
        <w:pStyle w:val="standard"/>
        <w:spacing w:before="0" w:beforeAutospacing="0" w:after="0" w:afterAutospacing="0" w:line="360" w:lineRule="auto"/>
        <w:jc w:val="both"/>
        <w:rPr>
          <w:rFonts w:ascii="Arial" w:hAnsi="Arial" w:cs="Arial"/>
          <w:color w:val="000000"/>
          <w:lang w:val="en-US"/>
        </w:rPr>
      </w:pPr>
      <w:r w:rsidRPr="00252243">
        <w:rPr>
          <w:rFonts w:ascii="Arial" w:hAnsi="Arial" w:cs="Arial"/>
          <w:color w:val="000000"/>
          <w:lang w:val="en-US"/>
        </w:rPr>
        <w:t>Risk provisions for loans and advances to customers as a percentage of non-performing loans and advances to customers.</w:t>
      </w:r>
      <w:bookmarkStart w:id="34" w:name="lid95a"/>
      <w:bookmarkEnd w:id="34"/>
    </w:p>
    <w:p w:rsid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p>
    <w:p w:rsidR="00252243" w:rsidRP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r w:rsidRPr="00252243">
        <w:rPr>
          <w:rFonts w:ascii="Arial" w:hAnsi="Arial" w:cs="Arial"/>
          <w:b/>
          <w:color w:val="003366"/>
          <w:lang w:val="en-US"/>
        </w:rPr>
        <w:t>Non-performing loans (NPL) ratio</w:t>
      </w:r>
      <w:bookmarkStart w:id="35" w:name="lid95c"/>
      <w:bookmarkEnd w:id="35"/>
    </w:p>
    <w:p w:rsidR="00252243" w:rsidRPr="00252243" w:rsidRDefault="00252243" w:rsidP="00252243">
      <w:pPr>
        <w:pStyle w:val="standard"/>
        <w:spacing w:before="0" w:beforeAutospacing="0" w:after="0" w:afterAutospacing="0" w:line="360" w:lineRule="auto"/>
        <w:jc w:val="both"/>
        <w:rPr>
          <w:rFonts w:ascii="Arial" w:hAnsi="Arial" w:cs="Arial"/>
          <w:color w:val="000000"/>
          <w:lang w:val="en-US"/>
        </w:rPr>
      </w:pPr>
      <w:r w:rsidRPr="00252243">
        <w:rPr>
          <w:rFonts w:ascii="Arial" w:hAnsi="Arial" w:cs="Arial"/>
          <w:color w:val="000000"/>
          <w:lang w:val="en-US"/>
        </w:rPr>
        <w:t>Non-performing loans and advances to customers as a percentage of total loans and advances to customers.</w:t>
      </w:r>
      <w:bookmarkStart w:id="36" w:name="lid95d"/>
      <w:bookmarkEnd w:id="36"/>
    </w:p>
    <w:p w:rsid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p>
    <w:p w:rsidR="00252243" w:rsidRP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r w:rsidRPr="00252243">
        <w:rPr>
          <w:rFonts w:ascii="Arial" w:hAnsi="Arial" w:cs="Arial"/>
          <w:b/>
          <w:color w:val="003366"/>
          <w:lang w:val="en-US"/>
        </w:rPr>
        <w:t>Non-performing loans (NPL) total coverage ratio</w:t>
      </w:r>
      <w:bookmarkStart w:id="37" w:name="lid95f"/>
      <w:bookmarkEnd w:id="37"/>
    </w:p>
    <w:p w:rsidR="00252243" w:rsidRPr="00252243" w:rsidRDefault="00252243" w:rsidP="00252243">
      <w:pPr>
        <w:pStyle w:val="standard"/>
        <w:spacing w:before="0" w:beforeAutospacing="0" w:after="0" w:afterAutospacing="0" w:line="360" w:lineRule="auto"/>
        <w:jc w:val="both"/>
        <w:rPr>
          <w:rFonts w:ascii="Arial" w:hAnsi="Arial" w:cs="Arial"/>
          <w:color w:val="000000"/>
          <w:lang w:val="en-US"/>
        </w:rPr>
      </w:pPr>
      <w:r w:rsidRPr="00252243">
        <w:rPr>
          <w:rFonts w:ascii="Arial" w:hAnsi="Arial" w:cs="Arial"/>
          <w:color w:val="000000"/>
          <w:lang w:val="en-US"/>
        </w:rPr>
        <w:t>Risk provisions and collateral for non-performing loans and advances to customers as a percentage of non-performing loans and advances to customers.</w:t>
      </w:r>
      <w:bookmarkStart w:id="38" w:name="lid960"/>
      <w:bookmarkEnd w:id="38"/>
    </w:p>
    <w:p w:rsid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p>
    <w:p w:rsidR="00252243" w:rsidRP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r w:rsidRPr="00252243">
        <w:rPr>
          <w:rFonts w:ascii="Arial" w:hAnsi="Arial" w:cs="Arial"/>
          <w:b/>
          <w:color w:val="003366"/>
          <w:lang w:val="en-US"/>
        </w:rPr>
        <w:t>Return on equity</w:t>
      </w:r>
      <w:bookmarkStart w:id="39" w:name="lid962"/>
      <w:bookmarkEnd w:id="39"/>
    </w:p>
    <w:p w:rsidR="00252243" w:rsidRPr="00252243" w:rsidRDefault="00252243" w:rsidP="00252243">
      <w:pPr>
        <w:pStyle w:val="standard"/>
        <w:spacing w:before="0" w:beforeAutospacing="0" w:after="0" w:afterAutospacing="0" w:line="360" w:lineRule="auto"/>
        <w:jc w:val="both"/>
        <w:rPr>
          <w:rFonts w:ascii="Arial" w:hAnsi="Arial" w:cs="Arial"/>
          <w:color w:val="000000"/>
          <w:lang w:val="en-US"/>
        </w:rPr>
      </w:pPr>
      <w:r w:rsidRPr="00252243">
        <w:rPr>
          <w:rFonts w:ascii="Arial" w:hAnsi="Arial" w:cs="Arial"/>
          <w:color w:val="000000"/>
          <w:lang w:val="en-US"/>
        </w:rPr>
        <w:t>Also referred to as ROE. Net profit/loss for the year attributable to owners of the parent, as a percentage of average equity. The average equity is calculated based upon the equity outstanding as of the close of each of the 12 months during the year.</w:t>
      </w:r>
      <w:bookmarkStart w:id="40" w:name="lid963"/>
      <w:bookmarkEnd w:id="40"/>
    </w:p>
    <w:p w:rsid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p>
    <w:p w:rsidR="00252243" w:rsidRP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r w:rsidRPr="00252243">
        <w:rPr>
          <w:rFonts w:ascii="Arial" w:hAnsi="Arial" w:cs="Arial"/>
          <w:b/>
          <w:color w:val="003366"/>
          <w:lang w:val="en-US"/>
        </w:rPr>
        <w:t>Risk categories</w:t>
      </w:r>
      <w:bookmarkStart w:id="41" w:name="lid965"/>
      <w:bookmarkEnd w:id="41"/>
    </w:p>
    <w:p w:rsidR="00252243" w:rsidRPr="00252243" w:rsidRDefault="00252243" w:rsidP="00252243">
      <w:pPr>
        <w:pStyle w:val="standard"/>
        <w:spacing w:before="0" w:beforeAutospacing="0" w:after="0" w:afterAutospacing="0" w:line="360" w:lineRule="auto"/>
        <w:jc w:val="both"/>
        <w:rPr>
          <w:rFonts w:ascii="Arial" w:hAnsi="Arial" w:cs="Arial"/>
          <w:color w:val="000000"/>
          <w:lang w:val="en-US"/>
        </w:rPr>
      </w:pPr>
      <w:r w:rsidRPr="00252243">
        <w:rPr>
          <w:rFonts w:ascii="Arial" w:hAnsi="Arial" w:cs="Arial"/>
          <w:color w:val="000000"/>
          <w:lang w:val="en-US"/>
        </w:rPr>
        <w:t xml:space="preserve">Risk categories are based on internal customer ratings and are used for classification of the bank’s assets and contingent credit liabilities. </w:t>
      </w:r>
      <w:proofErr w:type="spellStart"/>
      <w:r w:rsidRPr="00252243">
        <w:rPr>
          <w:rFonts w:ascii="Arial" w:hAnsi="Arial" w:cs="Arial"/>
          <w:color w:val="000000"/>
          <w:lang w:val="en-US"/>
        </w:rPr>
        <w:t>Erste</w:t>
      </w:r>
      <w:proofErr w:type="spellEnd"/>
      <w:r w:rsidRPr="00252243">
        <w:rPr>
          <w:rFonts w:ascii="Arial" w:hAnsi="Arial" w:cs="Arial"/>
          <w:color w:val="000000"/>
          <w:lang w:val="en-US"/>
        </w:rPr>
        <w:t> Group applies internal rating systems, which for private individuals comprise eight rating grades for non-defaulted customers and one rating grade for customers in default. For all other customer segments, the Group uses thirteen rating grades for non-defaulted customers and one rating grade for defaulted customers.</w:t>
      </w:r>
      <w:bookmarkStart w:id="42" w:name="lid966"/>
      <w:bookmarkEnd w:id="42"/>
    </w:p>
    <w:p w:rsid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p>
    <w:p w:rsid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p>
    <w:p w:rsid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p>
    <w:p w:rsidR="00252243" w:rsidRP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r w:rsidRPr="00252243">
        <w:rPr>
          <w:rFonts w:ascii="Arial" w:hAnsi="Arial" w:cs="Arial"/>
          <w:b/>
          <w:color w:val="003366"/>
          <w:lang w:val="en-US"/>
        </w:rPr>
        <w:lastRenderedPageBreak/>
        <w:t>Risk category – low risk</w:t>
      </w:r>
      <w:bookmarkStart w:id="43" w:name="lid968"/>
      <w:bookmarkEnd w:id="43"/>
    </w:p>
    <w:p w:rsidR="00252243" w:rsidRPr="00252243" w:rsidRDefault="00252243" w:rsidP="00252243">
      <w:pPr>
        <w:pStyle w:val="standard"/>
        <w:spacing w:before="0" w:beforeAutospacing="0" w:after="0" w:afterAutospacing="0" w:line="360" w:lineRule="auto"/>
        <w:jc w:val="both"/>
        <w:rPr>
          <w:rFonts w:ascii="Arial" w:hAnsi="Arial" w:cs="Arial"/>
          <w:color w:val="000000"/>
          <w:lang w:val="en-US"/>
        </w:rPr>
      </w:pPr>
      <w:r w:rsidRPr="00252243">
        <w:rPr>
          <w:rFonts w:ascii="Arial" w:hAnsi="Arial" w:cs="Arial"/>
          <w:color w:val="000000"/>
          <w:lang w:val="en-US"/>
        </w:rPr>
        <w:t xml:space="preserve">Typically regional customers with well-established and rather long-standing relationships with </w:t>
      </w:r>
      <w:proofErr w:type="spellStart"/>
      <w:r w:rsidRPr="00252243">
        <w:rPr>
          <w:rFonts w:ascii="Arial" w:hAnsi="Arial" w:cs="Arial"/>
          <w:color w:val="000000"/>
          <w:lang w:val="en-US"/>
        </w:rPr>
        <w:t>Erste</w:t>
      </w:r>
      <w:proofErr w:type="spellEnd"/>
      <w:r w:rsidRPr="00252243">
        <w:rPr>
          <w:rFonts w:ascii="Arial" w:hAnsi="Arial" w:cs="Arial"/>
          <w:color w:val="000000"/>
          <w:lang w:val="en-US"/>
        </w:rPr>
        <w:t xml:space="preserve"> Group or large, internationally </w:t>
      </w:r>
      <w:proofErr w:type="spellStart"/>
      <w:r w:rsidRPr="00252243">
        <w:rPr>
          <w:rFonts w:ascii="Arial" w:hAnsi="Arial" w:cs="Arial"/>
          <w:color w:val="000000"/>
          <w:lang w:val="en-US"/>
        </w:rPr>
        <w:t>recognised</w:t>
      </w:r>
      <w:proofErr w:type="spellEnd"/>
      <w:r w:rsidRPr="00252243">
        <w:rPr>
          <w:rFonts w:ascii="Arial" w:hAnsi="Arial" w:cs="Arial"/>
          <w:color w:val="000000"/>
          <w:lang w:val="en-US"/>
        </w:rPr>
        <w:t xml:space="preserve"> customers. Strong and good financial positions and no foreseeable financial difficulties. Retail clients with long relationships with the bank, or clients with wide product pool use. No late payments currently or in the most recent 12 months. New business is generally done with clients in this risk category.</w:t>
      </w:r>
      <w:bookmarkStart w:id="44" w:name="lid969"/>
      <w:bookmarkEnd w:id="44"/>
    </w:p>
    <w:p w:rsid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p>
    <w:p w:rsidR="00252243" w:rsidRP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r w:rsidRPr="00252243">
        <w:rPr>
          <w:rFonts w:ascii="Arial" w:hAnsi="Arial" w:cs="Arial"/>
          <w:b/>
          <w:color w:val="003366"/>
          <w:lang w:val="en-US"/>
        </w:rPr>
        <w:t>Risk category – management attention</w:t>
      </w:r>
      <w:bookmarkStart w:id="45" w:name="lid96b"/>
      <w:bookmarkEnd w:id="45"/>
    </w:p>
    <w:p w:rsidR="00252243" w:rsidRPr="00252243" w:rsidRDefault="00252243" w:rsidP="00252243">
      <w:pPr>
        <w:pStyle w:val="standard"/>
        <w:spacing w:before="0" w:beforeAutospacing="0" w:after="0" w:afterAutospacing="0" w:line="360" w:lineRule="auto"/>
        <w:jc w:val="both"/>
        <w:rPr>
          <w:rFonts w:ascii="Arial" w:hAnsi="Arial" w:cs="Arial"/>
          <w:color w:val="000000"/>
          <w:lang w:val="en-US"/>
        </w:rPr>
      </w:pPr>
      <w:r w:rsidRPr="00252243">
        <w:rPr>
          <w:rFonts w:ascii="Arial" w:hAnsi="Arial" w:cs="Arial"/>
          <w:color w:val="000000"/>
          <w:lang w:val="en-US"/>
        </w:rPr>
        <w:t>Vulnerable non-retail clients, that may have overdue payments or defaults in their credit history or may encounter debt repayment difficulties in the medium term. Retail clients with limited savings or possible payment problems in the past triggering early collection reminders. These clients typically have good recent histories and no current delinquencies.</w:t>
      </w:r>
      <w:bookmarkStart w:id="46" w:name="lid96c"/>
      <w:bookmarkEnd w:id="46"/>
    </w:p>
    <w:p w:rsid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p>
    <w:p w:rsidR="00252243" w:rsidRP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r w:rsidRPr="00252243">
        <w:rPr>
          <w:rFonts w:ascii="Arial" w:hAnsi="Arial" w:cs="Arial"/>
          <w:b/>
          <w:color w:val="003366"/>
          <w:lang w:val="en-US"/>
        </w:rPr>
        <w:t>Risk category – substandard</w:t>
      </w:r>
      <w:bookmarkStart w:id="47" w:name="lid96e"/>
      <w:bookmarkEnd w:id="47"/>
    </w:p>
    <w:p w:rsidR="00252243" w:rsidRPr="00252243" w:rsidRDefault="00252243" w:rsidP="00252243">
      <w:pPr>
        <w:pStyle w:val="standard"/>
        <w:spacing w:before="0" w:beforeAutospacing="0" w:after="0" w:afterAutospacing="0" w:line="360" w:lineRule="auto"/>
        <w:jc w:val="both"/>
        <w:rPr>
          <w:rFonts w:ascii="Arial" w:hAnsi="Arial" w:cs="Arial"/>
          <w:color w:val="000000"/>
          <w:lang w:val="en-US"/>
        </w:rPr>
      </w:pPr>
      <w:r w:rsidRPr="00252243">
        <w:rPr>
          <w:rFonts w:ascii="Arial" w:hAnsi="Arial" w:cs="Arial"/>
          <w:color w:val="000000"/>
          <w:lang w:val="en-US"/>
        </w:rPr>
        <w:t xml:space="preserve">The borrower is vulnerable to negative financial and economic developments. Such loans are managed in </w:t>
      </w:r>
      <w:proofErr w:type="spellStart"/>
      <w:r w:rsidRPr="00252243">
        <w:rPr>
          <w:rFonts w:ascii="Arial" w:hAnsi="Arial" w:cs="Arial"/>
          <w:color w:val="000000"/>
          <w:lang w:val="en-US"/>
        </w:rPr>
        <w:t>specialised</w:t>
      </w:r>
      <w:proofErr w:type="spellEnd"/>
      <w:r w:rsidRPr="00252243">
        <w:rPr>
          <w:rFonts w:ascii="Arial" w:hAnsi="Arial" w:cs="Arial"/>
          <w:color w:val="000000"/>
          <w:lang w:val="en-US"/>
        </w:rPr>
        <w:t xml:space="preserve"> risk management departments.</w:t>
      </w:r>
      <w:bookmarkStart w:id="48" w:name="lid96f"/>
      <w:bookmarkEnd w:id="48"/>
    </w:p>
    <w:p w:rsid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p>
    <w:p w:rsidR="00252243" w:rsidRP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r w:rsidRPr="00252243">
        <w:rPr>
          <w:rFonts w:ascii="Arial" w:hAnsi="Arial" w:cs="Arial"/>
          <w:b/>
          <w:color w:val="003366"/>
          <w:lang w:val="en-US"/>
        </w:rPr>
        <w:t>Risk category – non-performing</w:t>
      </w:r>
      <w:bookmarkStart w:id="49" w:name="lid971"/>
      <w:bookmarkEnd w:id="49"/>
    </w:p>
    <w:p w:rsidR="00252243" w:rsidRPr="00252243" w:rsidRDefault="00252243" w:rsidP="00252243">
      <w:pPr>
        <w:pStyle w:val="standard"/>
        <w:spacing w:before="0" w:beforeAutospacing="0" w:after="0" w:afterAutospacing="0" w:line="360" w:lineRule="auto"/>
        <w:jc w:val="both"/>
        <w:rPr>
          <w:rFonts w:ascii="Arial" w:hAnsi="Arial" w:cs="Arial"/>
          <w:color w:val="000000"/>
          <w:lang w:val="en-US"/>
        </w:rPr>
      </w:pPr>
      <w:r w:rsidRPr="00252243">
        <w:rPr>
          <w:rFonts w:ascii="Arial" w:hAnsi="Arial" w:cs="Arial"/>
          <w:color w:val="000000"/>
          <w:lang w:val="en-US"/>
        </w:rPr>
        <w:t xml:space="preserve">One or more of the default criteria under Basel II are met: full repayment unlikely, interest or principal payments on a material exposure more than 90 days past due, restructuring resulting in a loss to the lender, </w:t>
      </w:r>
      <w:proofErr w:type="spellStart"/>
      <w:r w:rsidRPr="00252243">
        <w:rPr>
          <w:rFonts w:ascii="Arial" w:hAnsi="Arial" w:cs="Arial"/>
          <w:color w:val="000000"/>
          <w:lang w:val="en-US"/>
        </w:rPr>
        <w:t>realisation</w:t>
      </w:r>
      <w:proofErr w:type="spellEnd"/>
      <w:r w:rsidRPr="00252243">
        <w:rPr>
          <w:rFonts w:ascii="Arial" w:hAnsi="Arial" w:cs="Arial"/>
          <w:color w:val="000000"/>
          <w:lang w:val="en-US"/>
        </w:rPr>
        <w:t xml:space="preserve"> of a loan loss, or initiation of bankruptcy proceedings.</w:t>
      </w:r>
      <w:bookmarkStart w:id="50" w:name="lid972"/>
      <w:bookmarkEnd w:id="50"/>
    </w:p>
    <w:p w:rsid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p>
    <w:p w:rsidR="00252243" w:rsidRP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r w:rsidRPr="00252243">
        <w:rPr>
          <w:rFonts w:ascii="Arial" w:hAnsi="Arial" w:cs="Arial"/>
          <w:b/>
          <w:color w:val="003366"/>
          <w:lang w:val="en-US"/>
        </w:rPr>
        <w:t>Share capital</w:t>
      </w:r>
      <w:bookmarkStart w:id="51" w:name="lid973"/>
      <w:bookmarkEnd w:id="51"/>
    </w:p>
    <w:p w:rsidR="00252243" w:rsidRPr="00252243" w:rsidRDefault="00252243" w:rsidP="00252243">
      <w:pPr>
        <w:pStyle w:val="standard"/>
        <w:spacing w:before="0" w:beforeAutospacing="0" w:after="0" w:afterAutospacing="0" w:line="360" w:lineRule="auto"/>
        <w:jc w:val="both"/>
        <w:rPr>
          <w:rFonts w:ascii="Arial" w:hAnsi="Arial" w:cs="Arial"/>
          <w:color w:val="000000"/>
          <w:lang w:val="en-US"/>
        </w:rPr>
      </w:pPr>
      <w:r w:rsidRPr="00252243">
        <w:rPr>
          <w:rFonts w:ascii="Arial" w:hAnsi="Arial" w:cs="Arial"/>
          <w:color w:val="000000"/>
          <w:lang w:val="en-US"/>
        </w:rPr>
        <w:t>Total equity attributable to owners of the parent of a company, subscribed to by the shareholders at par.</w:t>
      </w:r>
      <w:bookmarkStart w:id="52" w:name="lid974"/>
      <w:bookmarkEnd w:id="52"/>
    </w:p>
    <w:p w:rsid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p>
    <w:p w:rsidR="00252243" w:rsidRP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r w:rsidRPr="00252243">
        <w:rPr>
          <w:rFonts w:ascii="Arial" w:hAnsi="Arial" w:cs="Arial"/>
          <w:b/>
          <w:color w:val="003366"/>
          <w:lang w:val="en-US"/>
        </w:rPr>
        <w:t>Solvency ratio</w:t>
      </w:r>
      <w:bookmarkStart w:id="53" w:name="lid976"/>
      <w:bookmarkEnd w:id="53"/>
    </w:p>
    <w:p w:rsidR="00252243" w:rsidRPr="00252243" w:rsidRDefault="00252243" w:rsidP="00252243">
      <w:pPr>
        <w:pStyle w:val="standard"/>
        <w:spacing w:before="0" w:beforeAutospacing="0" w:after="0" w:afterAutospacing="0" w:line="360" w:lineRule="auto"/>
        <w:jc w:val="both"/>
        <w:rPr>
          <w:rFonts w:ascii="Arial" w:hAnsi="Arial" w:cs="Arial"/>
          <w:color w:val="000000"/>
          <w:lang w:val="en-US"/>
        </w:rPr>
      </w:pPr>
      <w:r w:rsidRPr="00252243">
        <w:rPr>
          <w:rFonts w:ascii="Arial" w:hAnsi="Arial" w:cs="Arial"/>
          <w:color w:val="000000"/>
          <w:lang w:val="en-US"/>
        </w:rPr>
        <w:t xml:space="preserve">The ratio of the sum of </w:t>
      </w:r>
      <w:r>
        <w:rPr>
          <w:rFonts w:ascii="Arial" w:hAnsi="Arial" w:cs="Arial"/>
          <w:color w:val="000000"/>
          <w:lang w:val="en-US"/>
        </w:rPr>
        <w:t>T</w:t>
      </w:r>
      <w:r w:rsidRPr="00252243">
        <w:rPr>
          <w:rFonts w:ascii="Arial" w:hAnsi="Arial" w:cs="Arial"/>
          <w:color w:val="000000"/>
          <w:lang w:val="en-US"/>
        </w:rPr>
        <w:t xml:space="preserve">ier1, </w:t>
      </w:r>
      <w:r>
        <w:rPr>
          <w:rFonts w:ascii="Arial" w:hAnsi="Arial" w:cs="Arial"/>
          <w:color w:val="000000"/>
          <w:lang w:val="en-US"/>
        </w:rPr>
        <w:t>T</w:t>
      </w:r>
      <w:r w:rsidRPr="00252243">
        <w:rPr>
          <w:rFonts w:ascii="Arial" w:hAnsi="Arial" w:cs="Arial"/>
          <w:color w:val="000000"/>
          <w:lang w:val="en-US"/>
        </w:rPr>
        <w:t xml:space="preserve">ier2 and </w:t>
      </w:r>
      <w:r>
        <w:rPr>
          <w:rFonts w:ascii="Arial" w:hAnsi="Arial" w:cs="Arial"/>
          <w:color w:val="000000"/>
          <w:lang w:val="en-US"/>
        </w:rPr>
        <w:t>T</w:t>
      </w:r>
      <w:r w:rsidRPr="00252243">
        <w:rPr>
          <w:rFonts w:ascii="Arial" w:hAnsi="Arial" w:cs="Arial"/>
          <w:color w:val="000000"/>
          <w:lang w:val="en-US"/>
        </w:rPr>
        <w:t>ier3 capital, after regulatory deductions, to the calculation basis for the capital requirement pursuant to Section 22 (1) of the Austrian Banking Act.</w:t>
      </w:r>
      <w:bookmarkStart w:id="54" w:name="lid977"/>
      <w:bookmarkEnd w:id="54"/>
    </w:p>
    <w:p w:rsid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p>
    <w:p w:rsidR="00252243" w:rsidRP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r w:rsidRPr="00252243">
        <w:rPr>
          <w:rFonts w:ascii="Arial" w:hAnsi="Arial" w:cs="Arial"/>
          <w:b/>
          <w:color w:val="003366"/>
          <w:lang w:val="en-US"/>
        </w:rPr>
        <w:lastRenderedPageBreak/>
        <w:t>Tax rate</w:t>
      </w:r>
      <w:bookmarkStart w:id="55" w:name="lid979"/>
      <w:bookmarkEnd w:id="55"/>
    </w:p>
    <w:p w:rsidR="00252243" w:rsidRPr="00252243" w:rsidRDefault="00252243" w:rsidP="00252243">
      <w:pPr>
        <w:pStyle w:val="standard"/>
        <w:spacing w:before="0" w:beforeAutospacing="0" w:after="0" w:afterAutospacing="0" w:line="360" w:lineRule="auto"/>
        <w:jc w:val="both"/>
        <w:rPr>
          <w:rFonts w:ascii="Arial" w:hAnsi="Arial" w:cs="Arial"/>
          <w:color w:val="000000"/>
          <w:lang w:val="en-US"/>
        </w:rPr>
      </w:pPr>
      <w:r w:rsidRPr="00252243">
        <w:rPr>
          <w:rFonts w:ascii="Arial" w:hAnsi="Arial" w:cs="Arial"/>
          <w:color w:val="000000"/>
          <w:lang w:val="en-US"/>
        </w:rPr>
        <w:t>Taxes on income/loss as a percentage of pre-tax profit from continuing operations.</w:t>
      </w:r>
      <w:bookmarkStart w:id="56" w:name="lid97a"/>
      <w:bookmarkEnd w:id="56"/>
    </w:p>
    <w:p w:rsid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p>
    <w:p w:rsidR="00252243" w:rsidRP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r w:rsidRPr="00252243">
        <w:rPr>
          <w:rFonts w:ascii="Arial" w:hAnsi="Arial" w:cs="Arial"/>
          <w:b/>
          <w:color w:val="003366"/>
          <w:lang w:val="en-US"/>
        </w:rPr>
        <w:t>Tier1 ratio (total risk)</w:t>
      </w:r>
      <w:bookmarkStart w:id="57" w:name="lid97c"/>
      <w:bookmarkEnd w:id="57"/>
    </w:p>
    <w:p w:rsidR="00252243" w:rsidRPr="00252243" w:rsidRDefault="00252243" w:rsidP="00252243">
      <w:pPr>
        <w:pStyle w:val="standard"/>
        <w:spacing w:before="0" w:beforeAutospacing="0" w:after="0" w:afterAutospacing="0" w:line="360" w:lineRule="auto"/>
        <w:jc w:val="both"/>
        <w:rPr>
          <w:rFonts w:ascii="Arial" w:hAnsi="Arial" w:cs="Arial"/>
          <w:color w:val="000000"/>
          <w:lang w:val="en-US"/>
        </w:rPr>
      </w:pPr>
      <w:r w:rsidRPr="00252243">
        <w:rPr>
          <w:rFonts w:ascii="Arial" w:hAnsi="Arial" w:cs="Arial"/>
          <w:color w:val="000000"/>
          <w:lang w:val="en-US"/>
        </w:rPr>
        <w:t>The ratio of tier1 capital (including hybrid capital pursuant to Section 23 (4a) and (4b) of the Austrian Banking Act) after regulatory deductions to the calculation basis for the capital requirement pursuant to Section 22 (1) of the Austrian Banking Act.</w:t>
      </w:r>
      <w:bookmarkStart w:id="58" w:name="lid97d"/>
      <w:bookmarkEnd w:id="58"/>
    </w:p>
    <w:p w:rsid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p>
    <w:p w:rsidR="00252243" w:rsidRPr="00252243" w:rsidRDefault="00252243" w:rsidP="00252243">
      <w:pPr>
        <w:pStyle w:val="berschrift5"/>
        <w:spacing w:before="0" w:beforeAutospacing="0" w:after="0" w:afterAutospacing="0" w:line="360" w:lineRule="auto"/>
        <w:jc w:val="both"/>
        <w:textAlignment w:val="top"/>
        <w:rPr>
          <w:rFonts w:ascii="Arial" w:hAnsi="Arial" w:cs="Arial"/>
          <w:b/>
          <w:color w:val="003366"/>
          <w:lang w:val="en-US"/>
        </w:rPr>
      </w:pPr>
      <w:r w:rsidRPr="00252243">
        <w:rPr>
          <w:rFonts w:ascii="Arial" w:hAnsi="Arial" w:cs="Arial"/>
          <w:b/>
          <w:color w:val="003366"/>
          <w:lang w:val="en-US"/>
        </w:rPr>
        <w:t>Total shareholder return</w:t>
      </w:r>
      <w:bookmarkStart w:id="59" w:name="lid97f"/>
      <w:bookmarkEnd w:id="59"/>
    </w:p>
    <w:p w:rsidR="00252243" w:rsidRPr="00252243" w:rsidRDefault="00252243" w:rsidP="00252243">
      <w:pPr>
        <w:pStyle w:val="standard"/>
        <w:spacing w:before="0" w:beforeAutospacing="0" w:after="0" w:afterAutospacing="0" w:line="360" w:lineRule="auto"/>
        <w:jc w:val="both"/>
        <w:rPr>
          <w:rFonts w:ascii="Arial" w:hAnsi="Arial" w:cs="Arial"/>
          <w:color w:val="000000"/>
          <w:lang w:val="en-US"/>
        </w:rPr>
      </w:pPr>
      <w:r w:rsidRPr="00252243">
        <w:rPr>
          <w:rFonts w:ascii="Arial" w:hAnsi="Arial" w:cs="Arial"/>
          <w:color w:val="000000"/>
          <w:lang w:val="en-US"/>
        </w:rPr>
        <w:t>Annual perfor</w:t>
      </w:r>
      <w:r>
        <w:rPr>
          <w:rFonts w:ascii="Arial" w:hAnsi="Arial" w:cs="Arial"/>
          <w:color w:val="000000"/>
          <w:lang w:val="en-US"/>
        </w:rPr>
        <w:t xml:space="preserve">mance of an investment in </w:t>
      </w:r>
      <w:proofErr w:type="spellStart"/>
      <w:r>
        <w:rPr>
          <w:rFonts w:ascii="Arial" w:hAnsi="Arial" w:cs="Arial"/>
          <w:color w:val="000000"/>
          <w:lang w:val="en-US"/>
        </w:rPr>
        <w:t>Erste</w:t>
      </w:r>
      <w:proofErr w:type="spellEnd"/>
      <w:r>
        <w:rPr>
          <w:rFonts w:ascii="Arial" w:hAnsi="Arial" w:cs="Arial"/>
          <w:color w:val="000000"/>
          <w:lang w:val="en-US"/>
        </w:rPr>
        <w:t xml:space="preserve"> Group Bank </w:t>
      </w:r>
      <w:r w:rsidRPr="00252243">
        <w:rPr>
          <w:rFonts w:ascii="Arial" w:hAnsi="Arial" w:cs="Arial"/>
          <w:color w:val="000000"/>
          <w:lang w:val="en-US"/>
        </w:rPr>
        <w:t>AG shares including all income streams (e.g. dividend for the year plus or minus gain or loss in the share price from the beginning to the end of the year).</w:t>
      </w:r>
    </w:p>
    <w:p w:rsidR="00CE6FD1" w:rsidRDefault="00CE6FD1" w:rsidP="00252243">
      <w:pPr>
        <w:spacing w:line="360" w:lineRule="auto"/>
        <w:jc w:val="both"/>
        <w:rPr>
          <w:rFonts w:ascii="Arial" w:hAnsi="Arial" w:cs="Arial"/>
          <w:sz w:val="24"/>
          <w:szCs w:val="24"/>
          <w:lang w:val="en-US"/>
        </w:rPr>
      </w:pPr>
    </w:p>
    <w:p w:rsidR="00252243" w:rsidRPr="00252243" w:rsidRDefault="00252243" w:rsidP="00252243">
      <w:pPr>
        <w:spacing w:line="360" w:lineRule="auto"/>
        <w:jc w:val="both"/>
        <w:rPr>
          <w:rFonts w:ascii="Arial" w:hAnsi="Arial" w:cs="Arial"/>
          <w:color w:val="0000FF"/>
          <w:sz w:val="24"/>
          <w:szCs w:val="24"/>
          <w:lang w:val="en-US"/>
        </w:rPr>
      </w:pPr>
      <w:r w:rsidRPr="00252243">
        <w:rPr>
          <w:rFonts w:ascii="Arial" w:hAnsi="Arial" w:cs="Arial"/>
          <w:color w:val="0000FF"/>
          <w:sz w:val="24"/>
          <w:szCs w:val="24"/>
          <w:lang w:val="en-US"/>
        </w:rPr>
        <w:t>http://www.erste-bank.at/GB2013/EN/GB2013_EN_Anhang_57.html</w:t>
      </w:r>
    </w:p>
    <w:p w:rsidR="00252243" w:rsidRPr="00252243" w:rsidRDefault="00252243" w:rsidP="00252243">
      <w:pPr>
        <w:spacing w:line="360" w:lineRule="auto"/>
        <w:jc w:val="both"/>
        <w:rPr>
          <w:rFonts w:ascii="Arial" w:hAnsi="Arial" w:cs="Arial"/>
          <w:sz w:val="24"/>
          <w:szCs w:val="24"/>
          <w:lang w:val="en-US"/>
        </w:rPr>
      </w:pPr>
    </w:p>
    <w:sectPr w:rsidR="00252243" w:rsidRPr="00252243" w:rsidSect="00CE6FD1">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BDE" w:rsidRDefault="00F73BDE" w:rsidP="00252243">
      <w:r>
        <w:separator/>
      </w:r>
    </w:p>
  </w:endnote>
  <w:endnote w:type="continuationSeparator" w:id="0">
    <w:p w:rsidR="00F73BDE" w:rsidRDefault="00F73BDE" w:rsidP="002522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9505"/>
      <w:docPartObj>
        <w:docPartGallery w:val="Page Numbers (Bottom of Page)"/>
        <w:docPartUnique/>
      </w:docPartObj>
    </w:sdtPr>
    <w:sdtContent>
      <w:p w:rsidR="00252243" w:rsidRDefault="00252243">
        <w:pPr>
          <w:pStyle w:val="a4"/>
          <w:jc w:val="right"/>
        </w:pPr>
        <w:fldSimple w:instr=" PAGE   \* MERGEFORMAT ">
          <w:r>
            <w:rPr>
              <w:noProof/>
            </w:rPr>
            <w:t>5</w:t>
          </w:r>
        </w:fldSimple>
      </w:p>
    </w:sdtContent>
  </w:sdt>
  <w:p w:rsidR="00252243" w:rsidRDefault="0025224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BDE" w:rsidRDefault="00F73BDE" w:rsidP="00252243">
      <w:r>
        <w:separator/>
      </w:r>
    </w:p>
  </w:footnote>
  <w:footnote w:type="continuationSeparator" w:id="0">
    <w:p w:rsidR="00F73BDE" w:rsidRDefault="00F73BDE" w:rsidP="002522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252243"/>
    <w:rsid w:val="00252243"/>
    <w:rsid w:val="00A073D9"/>
    <w:rsid w:val="00CE6FD1"/>
    <w:rsid w:val="00F73BD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F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erschrift1">
    <w:name w:val="berschrift1"/>
    <w:basedOn w:val="a"/>
    <w:rsid w:val="00252243"/>
    <w:pPr>
      <w:spacing w:before="100" w:beforeAutospacing="1" w:after="100" w:afterAutospacing="1"/>
    </w:pPr>
    <w:rPr>
      <w:rFonts w:ascii="Times New Roman" w:eastAsia="Times New Roman" w:hAnsi="Times New Roman" w:cs="Times New Roman"/>
      <w:sz w:val="24"/>
      <w:szCs w:val="24"/>
      <w:lang w:eastAsia="el-GR"/>
    </w:rPr>
  </w:style>
  <w:style w:type="paragraph" w:customStyle="1" w:styleId="berschrift5">
    <w:name w:val="berschrift5"/>
    <w:basedOn w:val="a"/>
    <w:rsid w:val="00252243"/>
    <w:pPr>
      <w:spacing w:before="100" w:beforeAutospacing="1" w:after="100" w:afterAutospacing="1"/>
    </w:pPr>
    <w:rPr>
      <w:rFonts w:ascii="Times New Roman" w:eastAsia="Times New Roman" w:hAnsi="Times New Roman" w:cs="Times New Roman"/>
      <w:sz w:val="24"/>
      <w:szCs w:val="24"/>
      <w:lang w:eastAsia="el-GR"/>
    </w:rPr>
  </w:style>
  <w:style w:type="paragraph" w:customStyle="1" w:styleId="standard">
    <w:name w:val="standard"/>
    <w:basedOn w:val="a"/>
    <w:rsid w:val="00252243"/>
    <w:pPr>
      <w:spacing w:before="100" w:beforeAutospacing="1" w:after="100" w:afterAutospacing="1"/>
    </w:pPr>
    <w:rPr>
      <w:rFonts w:ascii="Times New Roman" w:eastAsia="Times New Roman" w:hAnsi="Times New Roman" w:cs="Times New Roman"/>
      <w:sz w:val="24"/>
      <w:szCs w:val="24"/>
      <w:lang w:eastAsia="el-GR"/>
    </w:rPr>
  </w:style>
  <w:style w:type="paragraph" w:styleId="a3">
    <w:name w:val="header"/>
    <w:basedOn w:val="a"/>
    <w:link w:val="Char"/>
    <w:uiPriority w:val="99"/>
    <w:semiHidden/>
    <w:unhideWhenUsed/>
    <w:rsid w:val="00252243"/>
    <w:pPr>
      <w:tabs>
        <w:tab w:val="center" w:pos="4153"/>
        <w:tab w:val="right" w:pos="8306"/>
      </w:tabs>
    </w:pPr>
  </w:style>
  <w:style w:type="character" w:customStyle="1" w:styleId="Char">
    <w:name w:val="Κεφαλίδα Char"/>
    <w:basedOn w:val="a0"/>
    <w:link w:val="a3"/>
    <w:uiPriority w:val="99"/>
    <w:semiHidden/>
    <w:rsid w:val="00252243"/>
  </w:style>
  <w:style w:type="paragraph" w:styleId="a4">
    <w:name w:val="footer"/>
    <w:basedOn w:val="a"/>
    <w:link w:val="Char0"/>
    <w:uiPriority w:val="99"/>
    <w:unhideWhenUsed/>
    <w:rsid w:val="00252243"/>
    <w:pPr>
      <w:tabs>
        <w:tab w:val="center" w:pos="4153"/>
        <w:tab w:val="right" w:pos="8306"/>
      </w:tabs>
    </w:pPr>
  </w:style>
  <w:style w:type="character" w:customStyle="1" w:styleId="Char0">
    <w:name w:val="Υποσέλιδο Char"/>
    <w:basedOn w:val="a0"/>
    <w:link w:val="a4"/>
    <w:uiPriority w:val="99"/>
    <w:rsid w:val="00252243"/>
  </w:style>
</w:styles>
</file>

<file path=word/webSettings.xml><?xml version="1.0" encoding="utf-8"?>
<w:webSettings xmlns:r="http://schemas.openxmlformats.org/officeDocument/2006/relationships" xmlns:w="http://schemas.openxmlformats.org/wordprocessingml/2006/main">
  <w:divs>
    <w:div w:id="79379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978</Words>
  <Characters>5286</Characters>
  <Application>Microsoft Office Word</Application>
  <DocSecurity>0</DocSecurity>
  <Lines>44</Lines>
  <Paragraphs>12</Paragraphs>
  <ScaleCrop>false</ScaleCrop>
  <Company/>
  <LinksUpToDate>false</LinksUpToDate>
  <CharactersWithSpaces>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2016-05-28T17:51:00Z</dcterms:created>
  <dcterms:modified xsi:type="dcterms:W3CDTF">2016-05-28T17:56:00Z</dcterms:modified>
</cp:coreProperties>
</file>