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24" w:rsidRPr="00F81529" w:rsidRDefault="00F81529" w:rsidP="00E54C33">
      <w:pPr>
        <w:tabs>
          <w:tab w:val="left" w:pos="7185"/>
        </w:tabs>
        <w:jc w:val="center"/>
      </w:pPr>
      <w:r>
        <w:rPr>
          <w:b/>
        </w:rPr>
        <w:t>ΑΠΟΤΙΜΗΣΗ ΕΠΙΧΕΙΡΗΣΕΩΝ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9"/>
        <w:gridCol w:w="1191"/>
        <w:gridCol w:w="1190"/>
        <w:gridCol w:w="1190"/>
        <w:gridCol w:w="1198"/>
        <w:gridCol w:w="1273"/>
      </w:tblGrid>
      <w:tr w:rsidR="00336840" w:rsidRPr="00E54C33" w:rsidTr="00336840">
        <w:trPr>
          <w:jc w:val="center"/>
        </w:trPr>
        <w:tc>
          <w:tcPr>
            <w:tcW w:w="1289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</w:pPr>
            <w:r w:rsidRPr="00E54C33">
              <w:t>ΚΩΔΙΚΟΣ</w:t>
            </w:r>
          </w:p>
        </w:tc>
        <w:tc>
          <w:tcPr>
            <w:tcW w:w="1191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</w:pPr>
            <w:r w:rsidRPr="00E54C33">
              <w:t>Θ</w:t>
            </w:r>
          </w:p>
        </w:tc>
        <w:tc>
          <w:tcPr>
            <w:tcW w:w="1190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</w:pPr>
            <w:r w:rsidRPr="00E54C33">
              <w:t>Α.Π.</w:t>
            </w:r>
          </w:p>
        </w:tc>
        <w:tc>
          <w:tcPr>
            <w:tcW w:w="1190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</w:pPr>
            <w:r w:rsidRPr="00E54C33">
              <w:t>Σ</w:t>
            </w:r>
          </w:p>
        </w:tc>
        <w:tc>
          <w:tcPr>
            <w:tcW w:w="1198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</w:pPr>
            <w:r w:rsidRPr="00E54C33">
              <w:rPr>
                <w:lang w:val="en-US"/>
              </w:rPr>
              <w:t>E</w:t>
            </w:r>
            <w:r w:rsidR="00E10167" w:rsidRPr="00E54C33">
              <w:t>.</w:t>
            </w:r>
            <w:r w:rsidRPr="00E54C33">
              <w:rPr>
                <w:lang w:val="en-US"/>
              </w:rPr>
              <w:t>M</w:t>
            </w:r>
            <w:r w:rsidR="00E10167" w:rsidRPr="00E54C33">
              <w:t>.</w:t>
            </w:r>
          </w:p>
        </w:tc>
        <w:tc>
          <w:tcPr>
            <w:tcW w:w="1273" w:type="dxa"/>
            <w:shd w:val="clear" w:color="auto" w:fill="999999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  <w:rPr>
                <w:lang w:val="en-US"/>
              </w:rPr>
            </w:pPr>
            <w:r w:rsidRPr="00E54C33">
              <w:t>Διδακτικές Μονάδες (</w:t>
            </w:r>
            <w:r w:rsidRPr="00E54C33">
              <w:rPr>
                <w:lang w:val="en-US"/>
              </w:rPr>
              <w:t>ECTS)</w:t>
            </w:r>
          </w:p>
        </w:tc>
      </w:tr>
      <w:tr w:rsidR="00336840" w:rsidRPr="00E54C33" w:rsidTr="00336840">
        <w:trPr>
          <w:jc w:val="center"/>
        </w:trPr>
        <w:tc>
          <w:tcPr>
            <w:tcW w:w="1289" w:type="dxa"/>
          </w:tcPr>
          <w:p w:rsidR="00336840" w:rsidRPr="00F81529" w:rsidRDefault="00F81529" w:rsidP="000572FC">
            <w:pPr>
              <w:tabs>
                <w:tab w:val="left" w:pos="7185"/>
              </w:tabs>
              <w:jc w:val="center"/>
              <w:rPr>
                <w:b/>
              </w:rPr>
            </w:pPr>
            <w:r w:rsidRPr="00F81529">
              <w:rPr>
                <w:b/>
              </w:rPr>
              <w:t>XR076</w:t>
            </w:r>
            <w:r w:rsidR="000572FC">
              <w:rPr>
                <w:b/>
              </w:rPr>
              <w:t>0</w:t>
            </w:r>
          </w:p>
        </w:tc>
        <w:tc>
          <w:tcPr>
            <w:tcW w:w="1191" w:type="dxa"/>
          </w:tcPr>
          <w:p w:rsidR="00336840" w:rsidRPr="00E54C33" w:rsidRDefault="00E9645C" w:rsidP="00E54C33">
            <w:pPr>
              <w:tabs>
                <w:tab w:val="left" w:pos="718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0" w:type="dxa"/>
          </w:tcPr>
          <w:p w:rsidR="00336840" w:rsidRPr="00E54C33" w:rsidRDefault="00336840" w:rsidP="00E54C33">
            <w:pPr>
              <w:tabs>
                <w:tab w:val="left" w:pos="7185"/>
              </w:tabs>
              <w:jc w:val="center"/>
              <w:rPr>
                <w:b/>
              </w:rPr>
            </w:pPr>
          </w:p>
        </w:tc>
        <w:tc>
          <w:tcPr>
            <w:tcW w:w="1190" w:type="dxa"/>
          </w:tcPr>
          <w:p w:rsidR="00336840" w:rsidRPr="00E54C33" w:rsidRDefault="00E9645C" w:rsidP="00E54C33">
            <w:pPr>
              <w:tabs>
                <w:tab w:val="left" w:pos="718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8" w:type="dxa"/>
          </w:tcPr>
          <w:p w:rsidR="00336840" w:rsidRPr="00E54C33" w:rsidRDefault="00BB7726" w:rsidP="000572FC">
            <w:pPr>
              <w:tabs>
                <w:tab w:val="left" w:pos="7185"/>
              </w:tabs>
              <w:jc w:val="center"/>
              <w:rPr>
                <w:b/>
              </w:rPr>
            </w:pPr>
            <w:r w:rsidRPr="00E54C33">
              <w:rPr>
                <w:b/>
              </w:rPr>
              <w:t>ΜΕ</w:t>
            </w:r>
          </w:p>
        </w:tc>
        <w:tc>
          <w:tcPr>
            <w:tcW w:w="1273" w:type="dxa"/>
          </w:tcPr>
          <w:p w:rsidR="00336840" w:rsidRPr="00E54C33" w:rsidRDefault="000572FC" w:rsidP="00E54C33">
            <w:pPr>
              <w:tabs>
                <w:tab w:val="left" w:pos="718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4441CC" w:rsidRPr="00E54C33" w:rsidRDefault="004441CC" w:rsidP="00E54C33">
      <w:pPr>
        <w:tabs>
          <w:tab w:val="left" w:pos="7185"/>
        </w:tabs>
        <w:jc w:val="center"/>
      </w:pPr>
    </w:p>
    <w:p w:rsidR="00336840" w:rsidRPr="00E54C33" w:rsidRDefault="00336840" w:rsidP="00E54C33">
      <w:pPr>
        <w:tabs>
          <w:tab w:val="left" w:pos="7185"/>
        </w:tabs>
        <w:jc w:val="center"/>
      </w:pPr>
      <w:r w:rsidRPr="00E54C33">
        <w:t>Θ= Θεωρία, Α. Π .=Ασκήσεις Πράξη</w:t>
      </w:r>
      <w:r w:rsidR="00E101AA" w:rsidRPr="00E54C33">
        <w:t>ς</w:t>
      </w:r>
      <w:r w:rsidRPr="00E54C33">
        <w:t>, Σ= Σύνολο, Ε. Μ.= Είδος Μαθήματος</w:t>
      </w:r>
    </w:p>
    <w:p w:rsidR="00336840" w:rsidRPr="00E54C33" w:rsidRDefault="00336840" w:rsidP="00E54C33">
      <w:pPr>
        <w:tabs>
          <w:tab w:val="left" w:pos="7185"/>
        </w:tabs>
        <w:jc w:val="both"/>
      </w:pPr>
    </w:p>
    <w:p w:rsidR="00EA6A24" w:rsidRPr="00AE71C8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Στόχοι</w:t>
      </w:r>
    </w:p>
    <w:p w:rsidR="00EA6A24" w:rsidRPr="00FC25E4" w:rsidRDefault="00EA6A24" w:rsidP="00766747">
      <w:pPr>
        <w:autoSpaceDE w:val="0"/>
        <w:autoSpaceDN w:val="0"/>
        <w:adjustRightInd w:val="0"/>
        <w:jc w:val="both"/>
      </w:pPr>
      <w:r w:rsidRPr="00E54C33">
        <w:t>Το μάθημα</w:t>
      </w:r>
      <w:r w:rsidRPr="00E54C33">
        <w:rPr>
          <w:rStyle w:val="a3"/>
        </w:rPr>
        <w:t xml:space="preserve"> «</w:t>
      </w:r>
      <w:r w:rsidR="00766747">
        <w:rPr>
          <w:rStyle w:val="a3"/>
        </w:rPr>
        <w:t>Αποτίμηση Επιχειρήσεων</w:t>
      </w:r>
      <w:r w:rsidRPr="00E54C33">
        <w:rPr>
          <w:rStyle w:val="a3"/>
        </w:rPr>
        <w:t>»</w:t>
      </w:r>
      <w:r w:rsidRPr="00E54C33">
        <w:rPr>
          <w:rStyle w:val="a4"/>
        </w:rPr>
        <w:t xml:space="preserve">, </w:t>
      </w:r>
      <w:r w:rsidRPr="00E54C33">
        <w:t xml:space="preserve">επιδιώκει την κατανόηση </w:t>
      </w:r>
      <w:r w:rsidR="00272622" w:rsidRPr="00E54C33">
        <w:t xml:space="preserve">και την εξοικείωση των σπουδαστών </w:t>
      </w:r>
      <w:r w:rsidR="00FC25E4">
        <w:t>τόσο των μεθόδων αποτίμησης των προϊόντων και εμπορευμάτων μιας επιχείρησης, όσο και των μεθόδων αποτίμησης και μέτρησης της αξίας των ίδιων των επιχειρήσεων.</w:t>
      </w:r>
    </w:p>
    <w:p w:rsidR="00272622" w:rsidRPr="00E54C33" w:rsidRDefault="00272622" w:rsidP="00E54C33">
      <w:pPr>
        <w:jc w:val="both"/>
      </w:pPr>
    </w:p>
    <w:p w:rsidR="00EA6A24" w:rsidRPr="00AE71C8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Περιγραφή</w:t>
      </w:r>
    </w:p>
    <w:p w:rsidR="00EA6A24" w:rsidRPr="00E54C33" w:rsidRDefault="00EA6A24" w:rsidP="00E54C33">
      <w:pPr>
        <w:pStyle w:val="style57"/>
        <w:spacing w:before="0" w:beforeAutospacing="0" w:after="0" w:afterAutospacing="0"/>
        <w:jc w:val="both"/>
      </w:pPr>
      <w:r w:rsidRPr="00E54C33">
        <w:t xml:space="preserve">Η θεωρία στηρίζεται σε επιλεγμένα κεφάλαια </w:t>
      </w:r>
      <w:r w:rsidR="00BB7726" w:rsidRPr="00E54C33">
        <w:t xml:space="preserve">θεωρίας και ασκήσεων </w:t>
      </w:r>
      <w:r w:rsidRPr="00E54C33">
        <w:t>από την προτεινόμενη βιβλιογραφία.</w:t>
      </w:r>
      <w:r w:rsidR="00297780" w:rsidRPr="00E54C33">
        <w:t xml:space="preserve"> </w:t>
      </w:r>
    </w:p>
    <w:p w:rsidR="00EA6A24" w:rsidRPr="00E54C33" w:rsidRDefault="00EA6A24" w:rsidP="00E54C33">
      <w:pPr>
        <w:pStyle w:val="style57"/>
        <w:spacing w:before="0" w:beforeAutospacing="0" w:after="0" w:afterAutospacing="0"/>
        <w:jc w:val="both"/>
      </w:pPr>
      <w:r w:rsidRPr="00E54C33">
        <w:t xml:space="preserve">Το θεωρητικό υπόβαθρο της κάθε άσκησης ταυτίζεται με το περιεχόμενο του θεωρητικού μέρους του μαθήματος </w:t>
      </w:r>
      <w:r w:rsidR="00BB7726" w:rsidRPr="00E54C33">
        <w:t>Κάθε φορά</w:t>
      </w:r>
      <w:r w:rsidRPr="00E54C33">
        <w:t xml:space="preserve"> που εισάγονται νέες θεωρητικές έννοιες, τότε αυτές αναλύονται με στόχο την καλύτερη κατανόηση </w:t>
      </w:r>
      <w:r w:rsidR="00BB7726" w:rsidRPr="00E54C33">
        <w:t>τους και λύνονται ασκήσεις ως εφαρμογή της θεωρίας αυτής.</w:t>
      </w:r>
      <w:r w:rsidRPr="00E54C33">
        <w:t xml:space="preserve"> </w:t>
      </w:r>
    </w:p>
    <w:p w:rsidR="00EA6A24" w:rsidRPr="00E54C33" w:rsidRDefault="00EA6A24" w:rsidP="00E54C33">
      <w:pPr>
        <w:tabs>
          <w:tab w:val="left" w:pos="7185"/>
        </w:tabs>
        <w:jc w:val="both"/>
        <w:rPr>
          <w:b/>
        </w:rPr>
      </w:pPr>
    </w:p>
    <w:p w:rsidR="00EA6A24" w:rsidRPr="00AE71C8" w:rsidRDefault="00E54C33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Περιεχόμενο</w:t>
      </w:r>
    </w:p>
    <w:p w:rsidR="00C82ECA" w:rsidRPr="00FC25E4" w:rsidRDefault="00F81529" w:rsidP="00E54C33">
      <w:pPr>
        <w:jc w:val="both"/>
        <w:rPr>
          <w:color w:val="000000"/>
        </w:rPr>
      </w:pPr>
      <w:r w:rsidRPr="00FC25E4">
        <w:rPr>
          <w:color w:val="000000"/>
        </w:rPr>
        <w:t>Ο υπολογισμός της αξίας μιας επιχείρησης. Αξία βάσει του ισολογισμού. Λογιστική αξία της επιχείρησης. Μέθοδοι της καθαρής θέσης. Η τρέχουσα αξία της επιχείρησης ως συνόλου. Η μέθοδος της καθαρής περιουσιακής θέσης. Η μέθοδος των προεξοφλημένων ταμειακών ροών. Η μέθοδος των κεφαλαιοποιημένων οργανικών κερδών. Η μέθοδος της υπερπροσόδου. Αξία της επιχείρησης και χρηματιστηριακή τιμή. Χρηματοοικονομικοί δείκτες και αποτίμηση. Η μεθοδολογία της αποτίμησης.</w:t>
      </w:r>
    </w:p>
    <w:p w:rsidR="00F81529" w:rsidRPr="00E54C33" w:rsidRDefault="00F81529" w:rsidP="00E54C33">
      <w:pPr>
        <w:jc w:val="both"/>
      </w:pPr>
    </w:p>
    <w:p w:rsidR="00EA6A24" w:rsidRPr="00AE71C8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Εκπαιδευτικές δραστηριότητες</w:t>
      </w:r>
    </w:p>
    <w:p w:rsidR="004C2B3C" w:rsidRDefault="00EA6A24" w:rsidP="00E54C33">
      <w:pPr>
        <w:pStyle w:val="style57"/>
        <w:spacing w:before="0" w:beforeAutospacing="0" w:after="0" w:afterAutospacing="0"/>
        <w:jc w:val="both"/>
        <w:rPr>
          <w:lang w:val="en-US"/>
        </w:rPr>
      </w:pPr>
      <w:r w:rsidRPr="00E54C33">
        <w:t xml:space="preserve">Η ημέρα και ώρα διεξαγωγής του μαθήματος είναι </w:t>
      </w:r>
      <w:r w:rsidR="00A9204F" w:rsidRPr="00E54C33">
        <w:t>Τρίτη</w:t>
      </w:r>
      <w:r w:rsidR="00257D42" w:rsidRPr="00E54C33">
        <w:t xml:space="preserve"> 10</w:t>
      </w:r>
      <w:r w:rsidRPr="00E54C33">
        <w:t>:00-1</w:t>
      </w:r>
      <w:r w:rsidR="00257D42" w:rsidRPr="00E54C33">
        <w:t>2</w:t>
      </w:r>
      <w:r w:rsidRPr="00E54C33">
        <w:t xml:space="preserve">:00 </w:t>
      </w:r>
      <w:r w:rsidR="00257D42" w:rsidRPr="00E54C33">
        <w:t>και Παρασκευή 4</w:t>
      </w:r>
      <w:r w:rsidR="00877555" w:rsidRPr="00E54C33">
        <w:t>:00</w:t>
      </w:r>
      <w:r w:rsidR="00257D42" w:rsidRPr="00E54C33">
        <w:t>-6</w:t>
      </w:r>
      <w:r w:rsidR="00877555" w:rsidRPr="00E54C33">
        <w:t>:00</w:t>
      </w:r>
    </w:p>
    <w:p w:rsidR="00AE71C8" w:rsidRPr="00AE71C8" w:rsidRDefault="00AE71C8" w:rsidP="00E54C33">
      <w:pPr>
        <w:pStyle w:val="style57"/>
        <w:spacing w:before="0" w:beforeAutospacing="0" w:after="0" w:afterAutospacing="0"/>
        <w:jc w:val="both"/>
        <w:rPr>
          <w:lang w:val="en-US"/>
        </w:rPr>
      </w:pPr>
    </w:p>
    <w:p w:rsidR="00EA6A24" w:rsidRPr="00AE71C8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Προτεινόμενη Βιβλιογραφία</w:t>
      </w:r>
      <w:r w:rsidR="00742846" w:rsidRPr="00AE71C8">
        <w:rPr>
          <w:b/>
          <w:sz w:val="28"/>
          <w:szCs w:val="28"/>
        </w:rPr>
        <w:t>/ Αρθογραφία</w:t>
      </w:r>
    </w:p>
    <w:p w:rsidR="00515F1F" w:rsidRPr="00515F1F" w:rsidRDefault="00515F1F" w:rsidP="00C92048">
      <w:pPr>
        <w:jc w:val="both"/>
        <w:rPr>
          <w:b/>
          <w:u w:val="single"/>
        </w:rPr>
      </w:pPr>
      <w:r w:rsidRPr="00515F1F">
        <w:rPr>
          <w:b/>
          <w:u w:val="single"/>
        </w:rPr>
        <w:t>Βιβλιογραφία:</w:t>
      </w:r>
    </w:p>
    <w:p w:rsidR="00297780" w:rsidRPr="00C92048" w:rsidRDefault="00C92048" w:rsidP="00C92048">
      <w:pPr>
        <w:jc w:val="both"/>
      </w:pPr>
      <w:r w:rsidRPr="00C92048">
        <w:t xml:space="preserve">Λαζαρίδης Θ., (2005) Αποτίμηση επιχειρήσεων. Θεωρία-Μεθοδολογία-Πρακτική </w:t>
      </w:r>
      <w:r w:rsidRPr="00C92048">
        <w:rPr>
          <w:rFonts w:eastAsia="Arial Unicode MS"/>
          <w:color w:val="000000"/>
        </w:rPr>
        <w:t>ISBN: Εκδοτικός Οίκος Αδελφών Κυριακίδη Α.Ε 978-960-343-795-6</w:t>
      </w:r>
    </w:p>
    <w:p w:rsidR="00C92048" w:rsidRPr="00C92048" w:rsidRDefault="00C92048" w:rsidP="00C92048">
      <w:pPr>
        <w:jc w:val="both"/>
      </w:pPr>
      <w:r w:rsidRPr="00C92048">
        <w:t xml:space="preserve">Γκλεζάκος Μ., (2008) </w:t>
      </w:r>
      <w:r w:rsidR="00FC25E4" w:rsidRPr="00C92048">
        <w:t>Αξιολόγηση</w:t>
      </w:r>
      <w:r w:rsidRPr="00C92048">
        <w:t xml:space="preserve"> </w:t>
      </w:r>
      <w:r w:rsidR="00FC25E4" w:rsidRPr="00C92048">
        <w:t>Επιχειρήσεων</w:t>
      </w:r>
      <w:r w:rsidRPr="00C92048">
        <w:t xml:space="preserve"> Εκδόσεις Γκλεζάκος Μιχάλης </w:t>
      </w:r>
      <w:r w:rsidRPr="00C92048">
        <w:rPr>
          <w:rFonts w:eastAsia="Arial Unicode MS"/>
          <w:color w:val="000000"/>
        </w:rPr>
        <w:t>ISBN: 978-960-939743-7</w:t>
      </w:r>
    </w:p>
    <w:p w:rsidR="00E54C33" w:rsidRPr="00C92048" w:rsidRDefault="00DF10C8" w:rsidP="00E54C3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Αρθρογραφία</w:t>
      </w:r>
      <w:r w:rsidR="00E54C33" w:rsidRPr="00C92048">
        <w:rPr>
          <w:b/>
          <w:bCs/>
          <w:u w:val="single"/>
        </w:rPr>
        <w:t>:</w:t>
      </w:r>
    </w:p>
    <w:p w:rsidR="0010354D" w:rsidRPr="0010354D" w:rsidRDefault="0010354D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iCs/>
          <w:lang w:val="en-US"/>
        </w:rPr>
      </w:pPr>
      <w:r w:rsidRPr="0010354D">
        <w:rPr>
          <w:bCs/>
          <w:lang w:val="en-US"/>
        </w:rPr>
        <w:t xml:space="preserve">Britta Augsburg "Econometric evaluation of the SEWA Bank in India: Applying matching techniques based on the propensity score" Working Paper MGSoG/2006/WP003 </w:t>
      </w:r>
      <w:r w:rsidRPr="0010354D">
        <w:rPr>
          <w:lang w:val="en-US"/>
        </w:rPr>
        <w:t>October 2006</w:t>
      </w:r>
    </w:p>
    <w:p w:rsidR="004C2F9A" w:rsidRPr="00026143" w:rsidRDefault="004C2F9A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026143">
        <w:rPr>
          <w:iCs/>
          <w:lang w:val="en-US"/>
        </w:rPr>
        <w:t>Michael Bamberger Vijayendra Rao Michael Woolcock "</w:t>
      </w:r>
      <w:r w:rsidRPr="00026143">
        <w:rPr>
          <w:color w:val="008FFF"/>
          <w:sz w:val="52"/>
          <w:szCs w:val="52"/>
          <w:lang w:val="en-US"/>
        </w:rPr>
        <w:t xml:space="preserve"> </w:t>
      </w:r>
      <w:r w:rsidRPr="00026143">
        <w:rPr>
          <w:lang w:val="en-US"/>
        </w:rPr>
        <w:t>Using Mixed Methods in Monitoring and Evaluation Experiences from International Development"</w:t>
      </w:r>
      <w:r w:rsidRPr="00026143">
        <w:rPr>
          <w:color w:val="008FFF"/>
          <w:sz w:val="28"/>
          <w:szCs w:val="28"/>
          <w:lang w:val="en-US"/>
        </w:rPr>
        <w:t xml:space="preserve"> </w:t>
      </w:r>
      <w:r w:rsidRPr="00026143">
        <w:rPr>
          <w:lang w:val="en-US"/>
        </w:rPr>
        <w:lastRenderedPageBreak/>
        <w:t xml:space="preserve">The World Bank Development Research Group Poverty and Inequality Team March 2010 </w:t>
      </w:r>
    </w:p>
    <w:p w:rsidR="008735C1" w:rsidRPr="00CC07DD" w:rsidRDefault="00CC07DD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bCs/>
          <w:lang w:val="en-US"/>
        </w:rPr>
      </w:pPr>
      <w:r w:rsidRPr="00CC07DD">
        <w:rPr>
          <w:lang w:val="en-US"/>
        </w:rPr>
        <w:t xml:space="preserve">Shun-Hsing Chen, Dr. Joseph Yung T. Jou Ming-Hon Hwang </w:t>
      </w:r>
      <w:r>
        <w:rPr>
          <w:lang w:val="en-US"/>
        </w:rPr>
        <w:t>"</w:t>
      </w:r>
      <w:r w:rsidR="008735C1" w:rsidRPr="00CC07DD">
        <w:rPr>
          <w:lang w:val="en-US"/>
        </w:rPr>
        <w:t>Establishment of Performance Evaluation Model for the Bank Industry Service Quality</w:t>
      </w:r>
      <w:r>
        <w:rPr>
          <w:lang w:val="en-US"/>
        </w:rPr>
        <w:t xml:space="preserve">" </w:t>
      </w:r>
      <w:r w:rsidRPr="00CC07DD">
        <w:rPr>
          <w:lang w:val="en-US"/>
        </w:rPr>
        <w:t>12-ICIT 9-11/4/07 in RoC Going for Gold ~ Best Practices in Service Industry Paper #: 06-05</w:t>
      </w:r>
    </w:p>
    <w:p w:rsidR="00515F1F" w:rsidRDefault="00127E5D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026143">
        <w:rPr>
          <w:bCs/>
          <w:lang w:val="en-US"/>
        </w:rPr>
        <w:t>Claudiu CICEA, Daniela HINCU</w:t>
      </w:r>
      <w:r w:rsidRPr="00026143">
        <w:rPr>
          <w:lang w:val="en-US"/>
        </w:rPr>
        <w:t xml:space="preserve"> "Performance evaluation methods in commercial banks and associated risks for managing assets and liabilities" Communications of the IBIMA Volume 7, 2009 ISSN:1943-7765</w:t>
      </w:r>
    </w:p>
    <w:p w:rsidR="0010354D" w:rsidRPr="0010354D" w:rsidRDefault="0010354D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10354D">
        <w:rPr>
          <w:lang w:val="en-US"/>
        </w:rPr>
        <w:t>Fernando A. F. Ferreira Sérgio P. Santos Paulo M. M. Rodrigues "</w:t>
      </w:r>
      <w:r w:rsidR="005F1669" w:rsidRPr="0010354D">
        <w:rPr>
          <w:bCs/>
          <w:lang w:val="en-US"/>
        </w:rPr>
        <w:t>Adding Value To Bank Branch Performance Evaluation Using Cognitive Maps And Mcda: A Case Study</w:t>
      </w:r>
      <w:r>
        <w:rPr>
          <w:bCs/>
          <w:lang w:val="en-US"/>
        </w:rPr>
        <w:t xml:space="preserve">" Banco De Portugal </w:t>
      </w:r>
      <w:r w:rsidRPr="0010354D">
        <w:rPr>
          <w:iCs/>
          <w:lang w:val="en-US"/>
        </w:rPr>
        <w:t xml:space="preserve">Working Papers </w:t>
      </w:r>
      <w:r>
        <w:rPr>
          <w:bCs/>
          <w:lang w:val="en-US"/>
        </w:rPr>
        <w:t>23</w:t>
      </w:r>
      <w:r w:rsidRPr="0010354D">
        <w:rPr>
          <w:bCs/>
          <w:lang w:val="en-US"/>
        </w:rPr>
        <w:t xml:space="preserve"> 2009</w:t>
      </w:r>
    </w:p>
    <w:p w:rsidR="00515F1F" w:rsidRPr="00026143" w:rsidRDefault="00515F1F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026143">
        <w:rPr>
          <w:color w:val="000000"/>
          <w:lang w:val="en-US"/>
        </w:rPr>
        <w:t>Sabine Garbarino and Jeremy Holland "</w:t>
      </w:r>
      <w:r w:rsidRPr="00026143">
        <w:rPr>
          <w:bCs/>
          <w:color w:val="000000"/>
          <w:lang w:val="en-US"/>
        </w:rPr>
        <w:t xml:space="preserve">Quantitative and Qualitative Methods in Impact Evaluation and Measuring Results" </w:t>
      </w:r>
      <w:r w:rsidRPr="00026143">
        <w:rPr>
          <w:bCs/>
          <w:lang w:val="en-US"/>
        </w:rPr>
        <w:t>GSDRC Emerging Issues Research Service March 2009</w:t>
      </w:r>
    </w:p>
    <w:p w:rsidR="00026143" w:rsidRPr="00026143" w:rsidRDefault="00162CC4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026143">
        <w:rPr>
          <w:lang w:val="en-US"/>
        </w:rPr>
        <w:t xml:space="preserve">James A. Gentry, Frank K. Reilly, Michael J. Sandretto " Learning About Intrinsic Valuation With the Help of an Integrated Valuation Model" </w:t>
      </w:r>
      <w:r w:rsidRPr="00026143">
        <w:rPr>
          <w:bCs/>
          <w:lang w:val="en-US"/>
        </w:rPr>
        <w:t>Published:</w:t>
      </w:r>
      <w:r w:rsidRPr="00026143">
        <w:rPr>
          <w:b/>
          <w:bCs/>
          <w:lang w:val="en-US"/>
        </w:rPr>
        <w:t xml:space="preserve"> </w:t>
      </w:r>
      <w:r w:rsidRPr="00026143">
        <w:rPr>
          <w:lang w:val="en-US"/>
        </w:rPr>
        <w:t xml:space="preserve">2003 </w:t>
      </w:r>
      <w:r w:rsidRPr="00026143">
        <w:rPr>
          <w:bCs/>
          <w:lang w:val="en-US"/>
        </w:rPr>
        <w:t>URL:</w:t>
      </w:r>
      <w:r w:rsidRPr="00026143">
        <w:rPr>
          <w:b/>
          <w:bCs/>
          <w:lang w:val="en-US"/>
        </w:rPr>
        <w:t xml:space="preserve"> </w:t>
      </w:r>
      <w:r w:rsidRPr="00026143">
        <w:rPr>
          <w:lang w:val="en-US"/>
        </w:rPr>
        <w:t>http://www.business.uiuc.edu/Working_Papers/papers/03−0108.pdf</w:t>
      </w:r>
    </w:p>
    <w:p w:rsidR="00026143" w:rsidRPr="00026143" w:rsidRDefault="00026143" w:rsidP="005F1669">
      <w:pPr>
        <w:pStyle w:val="Default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026143">
        <w:rPr>
          <w:rFonts w:ascii="Times New Roman" w:hAnsi="Times New Roman" w:cs="Times New Roman"/>
          <w:bCs/>
          <w:lang w:val="en-US"/>
        </w:rPr>
        <w:t>Tihomir Hunja,k</w:t>
      </w:r>
      <w:r w:rsidRPr="00026143">
        <w:rPr>
          <w:rFonts w:ascii="Times New Roman" w:hAnsi="Times New Roman" w:cs="Times New Roman"/>
          <w:lang w:val="en-US"/>
        </w:rPr>
        <w:t xml:space="preserve"> </w:t>
      </w:r>
      <w:r w:rsidRPr="00026143">
        <w:rPr>
          <w:rFonts w:ascii="Times New Roman" w:hAnsi="Times New Roman" w:cs="Times New Roman"/>
          <w:bCs/>
          <w:color w:val="auto"/>
          <w:lang w:val="en-US"/>
        </w:rPr>
        <w:t>Drago Jakovčević</w:t>
      </w:r>
      <w:r w:rsidRPr="000261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26143">
        <w:rPr>
          <w:rFonts w:ascii="Times New Roman" w:hAnsi="Times New Roman" w:cs="Times New Roman"/>
          <w:bCs/>
          <w:lang w:val="en-US"/>
        </w:rPr>
        <w:t>"</w:t>
      </w:r>
      <w:r w:rsidR="005F1669" w:rsidRPr="00026143">
        <w:rPr>
          <w:rFonts w:ascii="Times New Roman" w:hAnsi="Times New Roman" w:cs="Times New Roman"/>
          <w:bCs/>
          <w:lang w:val="en-US"/>
        </w:rPr>
        <w:t xml:space="preserve">Ahp Based Model For Bank Performance Evaluation And Rating" </w:t>
      </w:r>
      <w:r w:rsidR="005F1669" w:rsidRPr="00026143">
        <w:rPr>
          <w:rFonts w:ascii="Times New Roman" w:hAnsi="Times New Roman" w:cs="Times New Roman"/>
          <w:lang w:val="en-US"/>
        </w:rPr>
        <w:t xml:space="preserve">Isahp </w:t>
      </w:r>
      <w:r w:rsidRPr="00026143">
        <w:rPr>
          <w:rFonts w:ascii="Times New Roman" w:hAnsi="Times New Roman" w:cs="Times New Roman"/>
          <w:lang w:val="en-US"/>
        </w:rPr>
        <w:t xml:space="preserve">2001, Berne, Switzerland, August 2-4, 2001 </w:t>
      </w:r>
      <w:r w:rsidRPr="00026143">
        <w:rPr>
          <w:rFonts w:ascii="Times New Roman" w:hAnsi="Times New Roman" w:cs="Times New Roman"/>
          <w:bCs/>
          <w:lang w:val="en-US"/>
        </w:rPr>
        <w:t xml:space="preserve"> </w:t>
      </w:r>
    </w:p>
    <w:p w:rsidR="00162CC4" w:rsidRPr="00026143" w:rsidRDefault="00162CC4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bCs/>
          <w:lang w:val="en-US"/>
        </w:rPr>
      </w:pPr>
      <w:r w:rsidRPr="00026143">
        <w:rPr>
          <w:color w:val="231F20"/>
          <w:lang w:val="en-US"/>
        </w:rPr>
        <w:t>Jiří Lisník "</w:t>
      </w:r>
      <w:r w:rsidRPr="00026143">
        <w:rPr>
          <w:bCs/>
          <w:lang w:val="en-US"/>
        </w:rPr>
        <w:t xml:space="preserve">Valuation of Companies" </w:t>
      </w:r>
      <w:r w:rsidRPr="00026143">
        <w:rPr>
          <w:lang w:val="en-US"/>
        </w:rPr>
        <w:t>Acta Polytechnica Vol. 47 No. 4–5/2007</w:t>
      </w:r>
    </w:p>
    <w:p w:rsidR="00DF10C8" w:rsidRPr="00026143" w:rsidRDefault="00CF79DE" w:rsidP="005F1669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lang w:val="en-US"/>
        </w:rPr>
      </w:pPr>
      <w:r w:rsidRPr="00DF10C8">
        <w:rPr>
          <w:bCs/>
          <w:color w:val="000000"/>
          <w:lang w:val="en-US"/>
        </w:rPr>
        <w:t xml:space="preserve">Mohini Singh and John Byrne </w:t>
      </w:r>
      <w:r w:rsidRPr="00026143">
        <w:rPr>
          <w:bCs/>
          <w:color w:val="000000"/>
          <w:lang w:val="en-US"/>
        </w:rPr>
        <w:t>"</w:t>
      </w:r>
      <w:r w:rsidR="00DF10C8" w:rsidRPr="00DF10C8">
        <w:rPr>
          <w:bCs/>
          <w:color w:val="000000"/>
          <w:lang w:val="en-US"/>
        </w:rPr>
        <w:t>Performance Evaluation of e-Business in Australia</w:t>
      </w:r>
      <w:r w:rsidRPr="00026143">
        <w:rPr>
          <w:bCs/>
          <w:color w:val="000000"/>
          <w:lang w:val="en-US"/>
        </w:rPr>
        <w:t>"</w:t>
      </w:r>
      <w:r w:rsidR="00DF10C8" w:rsidRPr="00DF10C8">
        <w:rPr>
          <w:bCs/>
          <w:color w:val="000000"/>
          <w:lang w:val="en-US"/>
        </w:rPr>
        <w:t xml:space="preserve"> </w:t>
      </w:r>
      <w:r w:rsidR="00DF10C8" w:rsidRPr="00026143">
        <w:rPr>
          <w:bCs/>
          <w:color w:val="000000"/>
          <w:lang w:val="en-US"/>
        </w:rPr>
        <w:t>School of Business Information Technology, RMIT University, Melbourne, Australia</w:t>
      </w:r>
      <w:r w:rsidRPr="00026143">
        <w:rPr>
          <w:sz w:val="20"/>
          <w:szCs w:val="20"/>
          <w:lang w:val="en-US"/>
        </w:rPr>
        <w:t xml:space="preserve"> </w:t>
      </w:r>
      <w:r w:rsidRPr="00026143">
        <w:rPr>
          <w:lang w:val="en-US"/>
        </w:rPr>
        <w:t>ISSN: 1566-6379 Electronic Journal of Information Systems Evaluation Volume 8 Issue 1 (2005) 71-80</w:t>
      </w:r>
    </w:p>
    <w:p w:rsidR="00CF79DE" w:rsidRPr="00CF79DE" w:rsidRDefault="00CF79DE" w:rsidP="00DF10C8">
      <w:pPr>
        <w:jc w:val="both"/>
        <w:rPr>
          <w:bCs/>
          <w:lang w:val="en-US"/>
        </w:rPr>
      </w:pPr>
    </w:p>
    <w:p w:rsidR="00E54C33" w:rsidRPr="00DF10C8" w:rsidRDefault="00E54C33" w:rsidP="00E54C33">
      <w:pPr>
        <w:jc w:val="both"/>
        <w:rPr>
          <w:u w:val="single"/>
        </w:rPr>
      </w:pPr>
      <w:r w:rsidRPr="00E54C33">
        <w:rPr>
          <w:b/>
          <w:bCs/>
          <w:u w:val="single"/>
        </w:rPr>
        <w:t>Επιστημονικά</w:t>
      </w:r>
      <w:r w:rsidRPr="00DF10C8">
        <w:rPr>
          <w:b/>
          <w:bCs/>
          <w:u w:val="single"/>
        </w:rPr>
        <w:t xml:space="preserve"> </w:t>
      </w:r>
      <w:r w:rsidRPr="00E54C33">
        <w:rPr>
          <w:b/>
          <w:bCs/>
          <w:u w:val="single"/>
        </w:rPr>
        <w:t>Περιοδικά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Journal of Banking &amp; Finance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Journal of International Financial Markets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Journal of Bank Management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International Journal of Banking Accounting and Finance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Journal of Financial Services Management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Journal of Performance Management</w:t>
      </w:r>
    </w:p>
    <w:p w:rsidR="00E54C33" w:rsidRPr="00CF79DE" w:rsidRDefault="00E54C33" w:rsidP="00E54C33">
      <w:pPr>
        <w:jc w:val="both"/>
        <w:rPr>
          <w:rStyle w:val="a4"/>
          <w:i w:val="0"/>
        </w:rPr>
      </w:pPr>
      <w:r w:rsidRPr="00CF79DE">
        <w:rPr>
          <w:rStyle w:val="a4"/>
          <w:i w:val="0"/>
          <w:lang w:val="en-US"/>
        </w:rPr>
        <w:t>Journal</w:t>
      </w:r>
      <w:r w:rsidRPr="00CF79DE">
        <w:rPr>
          <w:rStyle w:val="st"/>
          <w:b/>
          <w:lang w:val="en-US"/>
        </w:rPr>
        <w:t xml:space="preserve"> </w:t>
      </w:r>
      <w:r w:rsidRPr="00CF79DE">
        <w:rPr>
          <w:rStyle w:val="st"/>
          <w:lang w:val="en-US"/>
        </w:rPr>
        <w:t xml:space="preserve">of Banking, Information Technology and </w:t>
      </w:r>
      <w:r w:rsidRPr="00CF79DE">
        <w:rPr>
          <w:rStyle w:val="a4"/>
          <w:i w:val="0"/>
          <w:lang w:val="en-US"/>
        </w:rPr>
        <w:t>Management</w:t>
      </w:r>
    </w:p>
    <w:p w:rsidR="00E54C33" w:rsidRDefault="00CF79DE" w:rsidP="00E54C33">
      <w:pPr>
        <w:jc w:val="both"/>
      </w:pPr>
      <w:r w:rsidRPr="00CF79DE">
        <w:rPr>
          <w:lang w:val="en-US"/>
        </w:rPr>
        <w:t>Electronic Journal of Information Systems Evaluation</w:t>
      </w:r>
    </w:p>
    <w:p w:rsidR="003D176A" w:rsidRPr="003D176A" w:rsidRDefault="003D176A" w:rsidP="00E54C33">
      <w:pPr>
        <w:jc w:val="both"/>
        <w:rPr>
          <w:rStyle w:val="a4"/>
          <w:b/>
          <w:i w:val="0"/>
        </w:rPr>
      </w:pPr>
    </w:p>
    <w:p w:rsidR="00E54C33" w:rsidRPr="00E54C33" w:rsidRDefault="00E54C33" w:rsidP="00E54C33">
      <w:pPr>
        <w:jc w:val="both"/>
        <w:rPr>
          <w:b/>
          <w:u w:val="single"/>
          <w:lang w:val="en-US"/>
        </w:rPr>
      </w:pPr>
      <w:r w:rsidRPr="00E54C33">
        <w:rPr>
          <w:b/>
          <w:u w:val="single"/>
        </w:rPr>
        <w:t>Ιστοσελίδες</w:t>
      </w:r>
      <w:r w:rsidRPr="00E54C33">
        <w:rPr>
          <w:b/>
          <w:u w:val="single"/>
          <w:lang w:val="en-US"/>
        </w:rPr>
        <w:t>-</w:t>
      </w:r>
      <w:r w:rsidRPr="00E54C33">
        <w:rPr>
          <w:b/>
          <w:u w:val="single"/>
        </w:rPr>
        <w:t>Σύνδεσμοι</w:t>
      </w:r>
    </w:p>
    <w:p w:rsidR="00E54C33" w:rsidRP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www.bankofgreece.gr</w:t>
      </w:r>
    </w:p>
    <w:p w:rsidR="00E54C33" w:rsidRPr="00E54C33" w:rsidRDefault="00E54C33" w:rsidP="00E54C33">
      <w:pPr>
        <w:jc w:val="both"/>
      </w:pPr>
      <w:r w:rsidRPr="00E54C33">
        <w:rPr>
          <w:lang w:val="en-US"/>
        </w:rPr>
        <w:t>www</w:t>
      </w:r>
      <w:r w:rsidRPr="00E54C33">
        <w:t>.</w:t>
      </w:r>
      <w:r w:rsidRPr="00E54C33">
        <w:rPr>
          <w:lang w:val="en-US"/>
        </w:rPr>
        <w:t>hba</w:t>
      </w:r>
      <w:r w:rsidRPr="00E54C33">
        <w:t>.</w:t>
      </w:r>
      <w:r w:rsidRPr="00E54C33">
        <w:rPr>
          <w:lang w:val="en-US"/>
        </w:rPr>
        <w:t>gr</w:t>
      </w:r>
      <w:r w:rsidRPr="00E54C33">
        <w:t xml:space="preserve"> (Ελληνική ένωση Τραπεζών)</w:t>
      </w:r>
    </w:p>
    <w:p w:rsidR="00E54C33" w:rsidRPr="00E54C33" w:rsidRDefault="00E54C33" w:rsidP="00E54C33">
      <w:pPr>
        <w:jc w:val="both"/>
      </w:pPr>
      <w:r w:rsidRPr="00E54C33">
        <w:t>www.ecb.int (Ευρωπαϊκή Κεντρική Τράπεζα)</w:t>
      </w:r>
    </w:p>
    <w:p w:rsidR="00E54C33" w:rsidRPr="00E54C33" w:rsidRDefault="00E54C33" w:rsidP="00E54C33">
      <w:pPr>
        <w:jc w:val="both"/>
      </w:pPr>
      <w:r w:rsidRPr="00E54C33">
        <w:t>www.oecd.org (ΟΟΣΑ)</w:t>
      </w:r>
    </w:p>
    <w:p w:rsidR="00E54C33" w:rsidRPr="00E54C33" w:rsidRDefault="00E54C33" w:rsidP="00E54C33">
      <w:pPr>
        <w:jc w:val="both"/>
      </w:pPr>
      <w:r w:rsidRPr="00E54C33">
        <w:t>www.imf.org (Διεθνές Νομισματικό Ταμείο)</w:t>
      </w:r>
    </w:p>
    <w:p w:rsidR="00E54C33" w:rsidRPr="00E54C33" w:rsidRDefault="00E54C33" w:rsidP="00E54C33">
      <w:pPr>
        <w:jc w:val="both"/>
      </w:pPr>
      <w:r w:rsidRPr="00E54C33">
        <w:t>http://europa.eu (Ευρωπαϊκή Ένωση)</w:t>
      </w:r>
    </w:p>
    <w:p w:rsidR="00E54C33" w:rsidRDefault="00E54C33" w:rsidP="00E54C33">
      <w:pPr>
        <w:jc w:val="both"/>
        <w:rPr>
          <w:lang w:val="en-US"/>
        </w:rPr>
      </w:pPr>
      <w:r w:rsidRPr="00E54C33">
        <w:rPr>
          <w:lang w:val="en-US"/>
        </w:rPr>
        <w:t>www.eurojournals.com</w:t>
      </w:r>
    </w:p>
    <w:p w:rsidR="003B130E" w:rsidRDefault="003B130E" w:rsidP="00E54C33">
      <w:pPr>
        <w:jc w:val="both"/>
        <w:rPr>
          <w:lang w:val="en-US"/>
        </w:rPr>
      </w:pPr>
      <w:r>
        <w:rPr>
          <w:lang w:val="en-US"/>
        </w:rPr>
        <w:t>www.ebrd.com</w:t>
      </w:r>
    </w:p>
    <w:p w:rsidR="004C2F9A" w:rsidRDefault="004C2F9A" w:rsidP="00E54C33">
      <w:pPr>
        <w:jc w:val="both"/>
        <w:rPr>
          <w:lang w:val="en-US"/>
        </w:rPr>
      </w:pPr>
      <w:r w:rsidRPr="004C2F9A">
        <w:rPr>
          <w:lang w:val="en-US"/>
        </w:rPr>
        <w:t>www.financial-education.org</w:t>
      </w:r>
      <w:r>
        <w:rPr>
          <w:lang w:val="en-US"/>
        </w:rPr>
        <w:t xml:space="preserve"> </w:t>
      </w:r>
    </w:p>
    <w:p w:rsidR="00CF79DE" w:rsidRDefault="004C2F9A" w:rsidP="00E54C33">
      <w:pPr>
        <w:jc w:val="both"/>
        <w:rPr>
          <w:lang w:val="en-US"/>
        </w:rPr>
      </w:pPr>
      <w:r>
        <w:rPr>
          <w:lang w:val="en-US"/>
        </w:rPr>
        <w:t>w</w:t>
      </w:r>
      <w:r w:rsidR="00CF79DE">
        <w:rPr>
          <w:lang w:val="en-US"/>
        </w:rPr>
        <w:t>ww.iraj.gr</w:t>
      </w:r>
    </w:p>
    <w:p w:rsidR="004C2F9A" w:rsidRDefault="004C2F9A" w:rsidP="00E54C33">
      <w:pPr>
        <w:jc w:val="both"/>
        <w:rPr>
          <w:lang w:val="en-US"/>
        </w:rPr>
      </w:pPr>
      <w:r>
        <w:rPr>
          <w:lang w:val="en-US"/>
        </w:rPr>
        <w:t>www.oecd.org</w:t>
      </w:r>
    </w:p>
    <w:p w:rsidR="00CF79DE" w:rsidRDefault="00CF79DE" w:rsidP="00E54C33">
      <w:pPr>
        <w:jc w:val="both"/>
      </w:pPr>
    </w:p>
    <w:p w:rsidR="003D176A" w:rsidRPr="003D176A" w:rsidRDefault="003D176A" w:rsidP="00E54C33">
      <w:pPr>
        <w:jc w:val="both"/>
      </w:pPr>
    </w:p>
    <w:p w:rsidR="00EA6A24" w:rsidRPr="004C2F9A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  <w:lang w:val="en-US"/>
        </w:rPr>
      </w:pPr>
      <w:r w:rsidRPr="00AE71C8">
        <w:rPr>
          <w:b/>
          <w:sz w:val="28"/>
          <w:szCs w:val="28"/>
        </w:rPr>
        <w:lastRenderedPageBreak/>
        <w:t>Αξιολόγηση</w:t>
      </w:r>
    </w:p>
    <w:p w:rsidR="00041505" w:rsidRPr="00E54C33" w:rsidRDefault="004441CC" w:rsidP="00E54C33">
      <w:pPr>
        <w:pStyle w:val="style57"/>
        <w:spacing w:before="0" w:beforeAutospacing="0" w:after="0" w:afterAutospacing="0"/>
        <w:jc w:val="both"/>
      </w:pPr>
      <w:r w:rsidRPr="00E54C33">
        <w:t>Οι σπουδαστές /τριες</w:t>
      </w:r>
      <w:r w:rsidR="00B3300B" w:rsidRPr="00E54C33">
        <w:t xml:space="preserve"> λαμβάνουν μέρος σε τελική γραπτή ε</w:t>
      </w:r>
      <w:r w:rsidRPr="00E54C33">
        <w:t>ξέταση.</w:t>
      </w:r>
      <w:r w:rsidR="00877555" w:rsidRPr="00E54C33">
        <w:t xml:space="preserve"> Κατά την διάρκεια του μαθήματος δίδεται εργασία σχετική με τη ύλη του μαθήματος η οποία εκπονείται από τους σπουδαστές σε διάστημα 2 μηνών και έχει μέγιστη βαθμολογία 4.</w:t>
      </w:r>
    </w:p>
    <w:p w:rsidR="004441CC" w:rsidRPr="00E54C33" w:rsidRDefault="004441CC" w:rsidP="00E54C33">
      <w:pPr>
        <w:pStyle w:val="style57"/>
        <w:spacing w:before="0" w:beforeAutospacing="0" w:after="0" w:afterAutospacing="0"/>
        <w:jc w:val="both"/>
      </w:pPr>
      <w:r w:rsidRPr="00E54C33">
        <w:t>Σύμφωνα με τον</w:t>
      </w:r>
      <w:r w:rsidRPr="00E54C33">
        <w:rPr>
          <w:rStyle w:val="a4"/>
        </w:rPr>
        <w:t xml:space="preserve"> «Κανονισμό Σπουδών του Τ.Ε.Ι Δ. Μακεδονίας, ΄Άρθρο 11, Βαθμολογική κλίμακα»</w:t>
      </w:r>
      <w:r w:rsidRPr="00E54C33">
        <w:t xml:space="preserve">, ο χαρακτηρισμός της επίδοσης των σπουδαστών, καθορίζεται ως εξής: </w:t>
      </w:r>
    </w:p>
    <w:p w:rsidR="00E54C33" w:rsidRDefault="004441CC" w:rsidP="00E54C33">
      <w:pPr>
        <w:pStyle w:val="style57"/>
        <w:spacing w:before="0" w:beforeAutospacing="0" w:after="0" w:afterAutospacing="0"/>
        <w:jc w:val="center"/>
      </w:pPr>
      <w:r w:rsidRPr="00E54C33">
        <w:t>από 0 - 3.9 «κακώς»</w:t>
      </w:r>
    </w:p>
    <w:p w:rsidR="00E54C33" w:rsidRDefault="004441CC" w:rsidP="00E54C33">
      <w:pPr>
        <w:pStyle w:val="style57"/>
        <w:spacing w:before="0" w:beforeAutospacing="0" w:after="0" w:afterAutospacing="0"/>
        <w:jc w:val="center"/>
      </w:pPr>
      <w:r w:rsidRPr="00E54C33">
        <w:t>από 4 - 4.9 «ανεπαρκώς»</w:t>
      </w:r>
    </w:p>
    <w:p w:rsidR="00E54C33" w:rsidRDefault="004441CC" w:rsidP="00E54C33">
      <w:pPr>
        <w:pStyle w:val="style57"/>
        <w:spacing w:before="0" w:beforeAutospacing="0" w:after="0" w:afterAutospacing="0"/>
        <w:jc w:val="center"/>
      </w:pPr>
      <w:r w:rsidRPr="00E54C33">
        <w:t>από 5 - 6.9 «καλώς»</w:t>
      </w:r>
    </w:p>
    <w:p w:rsidR="00E54C33" w:rsidRDefault="004441CC" w:rsidP="00E54C33">
      <w:pPr>
        <w:pStyle w:val="style57"/>
        <w:spacing w:before="0" w:beforeAutospacing="0" w:after="0" w:afterAutospacing="0"/>
        <w:jc w:val="center"/>
      </w:pPr>
      <w:r w:rsidRPr="00E54C33">
        <w:t>από 7 - 8.4 «λία</w:t>
      </w:r>
      <w:r w:rsidR="00B76064" w:rsidRPr="00E54C33">
        <w:t>ν καλώς»</w:t>
      </w:r>
    </w:p>
    <w:p w:rsidR="004441CC" w:rsidRDefault="00B76064" w:rsidP="00E54C33">
      <w:pPr>
        <w:pStyle w:val="style57"/>
        <w:spacing w:before="0" w:beforeAutospacing="0" w:after="0" w:afterAutospacing="0"/>
        <w:jc w:val="center"/>
      </w:pPr>
      <w:r w:rsidRPr="00E54C33">
        <w:t>από 8.5 - 10 «άριστα»</w:t>
      </w:r>
    </w:p>
    <w:p w:rsidR="00F33855" w:rsidRPr="00E54C33" w:rsidRDefault="00F33855" w:rsidP="00E54C33">
      <w:pPr>
        <w:pStyle w:val="style57"/>
        <w:spacing w:before="0" w:beforeAutospacing="0" w:after="0" w:afterAutospacing="0"/>
        <w:jc w:val="center"/>
      </w:pPr>
    </w:p>
    <w:p w:rsidR="00EA6A24" w:rsidRPr="00AE71C8" w:rsidRDefault="00EA6A24" w:rsidP="00E54C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tabs>
          <w:tab w:val="left" w:pos="7185"/>
        </w:tabs>
        <w:jc w:val="center"/>
        <w:outlineLvl w:val="0"/>
        <w:rPr>
          <w:b/>
          <w:sz w:val="28"/>
          <w:szCs w:val="28"/>
        </w:rPr>
      </w:pPr>
      <w:r w:rsidRPr="00AE71C8">
        <w:rPr>
          <w:b/>
          <w:sz w:val="28"/>
          <w:szCs w:val="28"/>
        </w:rPr>
        <w:t>Επικοινωνία</w:t>
      </w:r>
    </w:p>
    <w:p w:rsidR="004441CC" w:rsidRPr="00E54C33" w:rsidRDefault="004441CC" w:rsidP="00E54C33">
      <w:pPr>
        <w:pStyle w:val="style57"/>
        <w:spacing w:before="0" w:beforeAutospacing="0" w:after="0" w:afterAutospacing="0"/>
        <w:jc w:val="both"/>
        <w:outlineLvl w:val="0"/>
        <w:rPr>
          <w:rStyle w:val="a3"/>
        </w:rPr>
      </w:pPr>
      <w:r w:rsidRPr="00E54C33">
        <w:rPr>
          <w:rStyle w:val="a3"/>
        </w:rPr>
        <w:t>Υπεύθυνος Καθηγητής</w:t>
      </w:r>
      <w:r w:rsidR="00877555" w:rsidRPr="00E54C33">
        <w:rPr>
          <w:rStyle w:val="a3"/>
          <w:b w:val="0"/>
        </w:rPr>
        <w:t xml:space="preserve"> Χρηματοοικονομικών Εφαρμογών Κυριαζόπουλος Γεώργιος</w:t>
      </w:r>
    </w:p>
    <w:p w:rsidR="004441CC" w:rsidRPr="00E54C33" w:rsidRDefault="004441CC" w:rsidP="00E54C33">
      <w:pPr>
        <w:pStyle w:val="style57"/>
        <w:spacing w:before="0" w:beforeAutospacing="0" w:after="0" w:afterAutospacing="0"/>
        <w:jc w:val="both"/>
        <w:outlineLvl w:val="0"/>
        <w:rPr>
          <w:lang w:val="en-US"/>
        </w:rPr>
      </w:pPr>
      <w:r w:rsidRPr="00E54C33">
        <w:rPr>
          <w:rStyle w:val="a3"/>
        </w:rPr>
        <w:t>Τηλ</w:t>
      </w:r>
      <w:r w:rsidRPr="00E54C33">
        <w:rPr>
          <w:rStyle w:val="a3"/>
          <w:lang w:val="en-US"/>
        </w:rPr>
        <w:t xml:space="preserve">: </w:t>
      </w:r>
      <w:r w:rsidRPr="00E54C33">
        <w:rPr>
          <w:rStyle w:val="style74"/>
          <w:lang w:val="en-US"/>
        </w:rPr>
        <w:t>24610 - 68</w:t>
      </w:r>
      <w:r w:rsidR="00877555" w:rsidRPr="00E54C33">
        <w:rPr>
          <w:rStyle w:val="style74"/>
          <w:lang w:val="en-US"/>
        </w:rPr>
        <w:t>188</w:t>
      </w:r>
      <w:r w:rsidRPr="00E54C33">
        <w:rPr>
          <w:rStyle w:val="style74"/>
          <w:lang w:val="en-US"/>
        </w:rPr>
        <w:t xml:space="preserve"> </w:t>
      </w:r>
    </w:p>
    <w:p w:rsidR="00436992" w:rsidRPr="00E54C33" w:rsidRDefault="004441CC" w:rsidP="00E54C33">
      <w:pPr>
        <w:pStyle w:val="style57"/>
        <w:spacing w:before="0" w:beforeAutospacing="0" w:after="0" w:afterAutospacing="0"/>
        <w:jc w:val="both"/>
        <w:outlineLvl w:val="0"/>
        <w:rPr>
          <w:rStyle w:val="style74"/>
        </w:rPr>
      </w:pPr>
      <w:r w:rsidRPr="00E54C33">
        <w:rPr>
          <w:rStyle w:val="a3"/>
          <w:lang w:val="en-US"/>
        </w:rPr>
        <w:t>E</w:t>
      </w:r>
      <w:r w:rsidR="00297780" w:rsidRPr="00E54C33">
        <w:rPr>
          <w:rStyle w:val="a3"/>
        </w:rPr>
        <w:t>-</w:t>
      </w:r>
      <w:r w:rsidRPr="00E54C33">
        <w:rPr>
          <w:rStyle w:val="a3"/>
          <w:lang w:val="en-US"/>
        </w:rPr>
        <w:t>mail</w:t>
      </w:r>
      <w:r w:rsidRPr="00E54C33">
        <w:rPr>
          <w:rStyle w:val="a3"/>
        </w:rPr>
        <w:t>:</w:t>
      </w:r>
      <w:r w:rsidR="00297780" w:rsidRPr="00E54C33">
        <w:rPr>
          <w:rStyle w:val="a3"/>
        </w:rPr>
        <w:t xml:space="preserve"> </w:t>
      </w:r>
      <w:hyperlink r:id="rId5" w:history="1">
        <w:r w:rsidR="00877555" w:rsidRPr="00E54C33">
          <w:rPr>
            <w:rStyle w:val="-"/>
            <w:lang w:val="en-US"/>
          </w:rPr>
          <w:t>kyriazog</w:t>
        </w:r>
        <w:r w:rsidR="00877555" w:rsidRPr="00E54C33">
          <w:rPr>
            <w:rStyle w:val="-"/>
          </w:rPr>
          <w:t>@</w:t>
        </w:r>
        <w:r w:rsidR="00877555" w:rsidRPr="00E54C33">
          <w:rPr>
            <w:rStyle w:val="-"/>
            <w:lang w:val="en-US"/>
          </w:rPr>
          <w:t>yahoo</w:t>
        </w:r>
        <w:r w:rsidR="00877555" w:rsidRPr="00E54C33">
          <w:rPr>
            <w:rStyle w:val="-"/>
          </w:rPr>
          <w:t>.</w:t>
        </w:r>
        <w:r w:rsidR="00877555" w:rsidRPr="00E54C33">
          <w:rPr>
            <w:rStyle w:val="-"/>
            <w:lang w:val="en-US"/>
          </w:rPr>
          <w:t>com</w:t>
        </w:r>
      </w:hyperlink>
      <w:r w:rsidR="00436992" w:rsidRPr="00E54C33">
        <w:rPr>
          <w:rStyle w:val="style74"/>
        </w:rPr>
        <w:t xml:space="preserve"> </w:t>
      </w:r>
    </w:p>
    <w:p w:rsidR="004441CC" w:rsidRPr="00E54C33" w:rsidRDefault="00436992" w:rsidP="00E54C33">
      <w:pPr>
        <w:pStyle w:val="style57"/>
        <w:spacing w:before="0" w:beforeAutospacing="0" w:after="0" w:afterAutospacing="0"/>
        <w:jc w:val="both"/>
        <w:outlineLvl w:val="0"/>
        <w:rPr>
          <w:rStyle w:val="style74"/>
          <w:color w:val="002060"/>
          <w:u w:val="single"/>
        </w:rPr>
      </w:pPr>
      <w:r w:rsidRPr="00E54C33">
        <w:rPr>
          <w:rStyle w:val="style74"/>
        </w:rPr>
        <w:t xml:space="preserve">              </w:t>
      </w:r>
      <w:r w:rsidRPr="00E54C33">
        <w:rPr>
          <w:rStyle w:val="style74"/>
          <w:color w:val="002060"/>
          <w:u w:val="single"/>
          <w:lang w:val="en-US"/>
        </w:rPr>
        <w:t>kyriazog</w:t>
      </w:r>
      <w:r w:rsidRPr="00E54C33">
        <w:rPr>
          <w:rStyle w:val="style74"/>
          <w:color w:val="002060"/>
          <w:u w:val="single"/>
        </w:rPr>
        <w:t>@</w:t>
      </w:r>
      <w:r w:rsidRPr="00E54C33">
        <w:rPr>
          <w:rStyle w:val="style74"/>
          <w:color w:val="002060"/>
          <w:u w:val="single"/>
          <w:lang w:val="en-US"/>
        </w:rPr>
        <w:t>teikoz</w:t>
      </w:r>
      <w:r w:rsidRPr="00E54C33">
        <w:rPr>
          <w:rStyle w:val="style74"/>
          <w:color w:val="002060"/>
          <w:u w:val="single"/>
        </w:rPr>
        <w:t>.</w:t>
      </w:r>
      <w:r w:rsidRPr="00E54C33">
        <w:rPr>
          <w:rStyle w:val="style74"/>
          <w:color w:val="002060"/>
          <w:u w:val="single"/>
          <w:lang w:val="en-US"/>
        </w:rPr>
        <w:t>gr</w:t>
      </w:r>
    </w:p>
    <w:p w:rsidR="004441CC" w:rsidRPr="00E54C33" w:rsidRDefault="004441CC" w:rsidP="00E54C33">
      <w:pPr>
        <w:pStyle w:val="style57"/>
        <w:spacing w:before="0" w:beforeAutospacing="0" w:after="0" w:afterAutospacing="0"/>
        <w:jc w:val="both"/>
        <w:outlineLvl w:val="0"/>
      </w:pPr>
      <w:r w:rsidRPr="00E54C33">
        <w:rPr>
          <w:rStyle w:val="a3"/>
        </w:rPr>
        <w:t xml:space="preserve">Ιστοσελίδα: </w:t>
      </w:r>
      <w:r w:rsidR="00877555" w:rsidRPr="00E54C33">
        <w:rPr>
          <w:lang w:val="en-US"/>
        </w:rPr>
        <w:t>http</w:t>
      </w:r>
      <w:r w:rsidR="00877555" w:rsidRPr="00E54C33">
        <w:t>://</w:t>
      </w:r>
      <w:r w:rsidR="00877555" w:rsidRPr="00E54C33">
        <w:rPr>
          <w:lang w:val="en-US"/>
        </w:rPr>
        <w:t>xrimko</w:t>
      </w:r>
      <w:r w:rsidR="00877555" w:rsidRPr="00E54C33">
        <w:t>.</w:t>
      </w:r>
      <w:r w:rsidR="00877555" w:rsidRPr="00E54C33">
        <w:rPr>
          <w:lang w:val="en-US"/>
        </w:rPr>
        <w:t>teikoz</w:t>
      </w:r>
      <w:r w:rsidR="00877555" w:rsidRPr="00E54C33">
        <w:t>.</w:t>
      </w:r>
      <w:r w:rsidR="00877555" w:rsidRPr="00E54C33">
        <w:rPr>
          <w:lang w:val="en-US"/>
        </w:rPr>
        <w:t>gr</w:t>
      </w:r>
      <w:r w:rsidR="00877555" w:rsidRPr="00E54C33">
        <w:t>/</w:t>
      </w:r>
    </w:p>
    <w:p w:rsidR="00245CB4" w:rsidRPr="00E54C33" w:rsidRDefault="00972BE0" w:rsidP="00E54C33">
      <w:pPr>
        <w:jc w:val="both"/>
        <w:outlineLvl w:val="0"/>
        <w:rPr>
          <w:b/>
        </w:rPr>
      </w:pPr>
      <w:r w:rsidRPr="00E54C33">
        <w:rPr>
          <w:b/>
        </w:rPr>
        <w:t>Ώ</w:t>
      </w:r>
      <w:r w:rsidR="004441CC" w:rsidRPr="00E54C33">
        <w:rPr>
          <w:b/>
        </w:rPr>
        <w:t>ρες επικοινωνίας</w:t>
      </w:r>
      <w:r w:rsidR="00E47D37" w:rsidRPr="00E54C33">
        <w:rPr>
          <w:b/>
        </w:rPr>
        <w:t xml:space="preserve"> </w:t>
      </w:r>
      <w:r w:rsidRPr="00E54C33">
        <w:rPr>
          <w:b/>
        </w:rPr>
        <w:t>σπουδαστών/τριών με τον υπεύθυνο καθηγητή:</w:t>
      </w:r>
      <w:r w:rsidR="00245CB4" w:rsidRPr="00E54C33">
        <w:rPr>
          <w:b/>
        </w:rPr>
        <w:t xml:space="preserve"> </w:t>
      </w:r>
    </w:p>
    <w:p w:rsidR="004441CC" w:rsidRPr="00E54C33" w:rsidRDefault="003C0E2A" w:rsidP="00E54C33">
      <w:pPr>
        <w:jc w:val="both"/>
        <w:outlineLvl w:val="0"/>
      </w:pPr>
      <w:r w:rsidRPr="00E54C33">
        <w:t>Τρίτη</w:t>
      </w:r>
      <w:r w:rsidR="00072AFA" w:rsidRPr="00E54C33">
        <w:t>:</w:t>
      </w:r>
      <w:r w:rsidR="00E10167" w:rsidRPr="00E54C33">
        <w:t xml:space="preserve"> </w:t>
      </w:r>
      <w:r w:rsidR="00072AFA" w:rsidRPr="00E54C33">
        <w:t>14</w:t>
      </w:r>
      <w:r w:rsidR="00E10167" w:rsidRPr="00E54C33">
        <w:t>:00-1</w:t>
      </w:r>
      <w:r w:rsidR="00072AFA" w:rsidRPr="00E54C33">
        <w:t>5</w:t>
      </w:r>
      <w:r w:rsidR="00E101AA" w:rsidRPr="00E54C33">
        <w:t>:00</w:t>
      </w:r>
    </w:p>
    <w:sectPr w:rsidR="004441CC" w:rsidRPr="00E54C33" w:rsidSect="004441C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HDM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GLCG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731"/>
    <w:multiLevelType w:val="hybridMultilevel"/>
    <w:tmpl w:val="911AF9FC"/>
    <w:lvl w:ilvl="0" w:tplc="F4AC3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1CF47FF1"/>
    <w:multiLevelType w:val="hybridMultilevel"/>
    <w:tmpl w:val="1FAA04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617"/>
    <w:multiLevelType w:val="hybridMultilevel"/>
    <w:tmpl w:val="67E63F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9C7B4B"/>
    <w:multiLevelType w:val="multilevel"/>
    <w:tmpl w:val="3AE2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E7DAE"/>
    <w:multiLevelType w:val="hybridMultilevel"/>
    <w:tmpl w:val="9E468F6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D4315A2"/>
    <w:multiLevelType w:val="multilevel"/>
    <w:tmpl w:val="D45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E3218"/>
    <w:multiLevelType w:val="hybridMultilevel"/>
    <w:tmpl w:val="FE386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956D0"/>
    <w:multiLevelType w:val="singleLevel"/>
    <w:tmpl w:val="6124152E"/>
    <w:lvl w:ilvl="0">
      <w:start w:val="1"/>
      <w:numFmt w:val="none"/>
      <w:lvlText w:val="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A6A24"/>
    <w:rsid w:val="00026143"/>
    <w:rsid w:val="00041505"/>
    <w:rsid w:val="000572FC"/>
    <w:rsid w:val="000655F9"/>
    <w:rsid w:val="00072AFA"/>
    <w:rsid w:val="000B2531"/>
    <w:rsid w:val="0010354D"/>
    <w:rsid w:val="00127E5D"/>
    <w:rsid w:val="00137832"/>
    <w:rsid w:val="00162CC4"/>
    <w:rsid w:val="001800CB"/>
    <w:rsid w:val="00206FFA"/>
    <w:rsid w:val="00220807"/>
    <w:rsid w:val="00245CB4"/>
    <w:rsid w:val="00257D42"/>
    <w:rsid w:val="00272622"/>
    <w:rsid w:val="00297780"/>
    <w:rsid w:val="00336840"/>
    <w:rsid w:val="00351F9E"/>
    <w:rsid w:val="003812D6"/>
    <w:rsid w:val="003A7963"/>
    <w:rsid w:val="003B130E"/>
    <w:rsid w:val="003C0E2A"/>
    <w:rsid w:val="003D176A"/>
    <w:rsid w:val="00436992"/>
    <w:rsid w:val="004441CC"/>
    <w:rsid w:val="00446D6C"/>
    <w:rsid w:val="004C2B3C"/>
    <w:rsid w:val="004C2F9A"/>
    <w:rsid w:val="00515F1F"/>
    <w:rsid w:val="005256B0"/>
    <w:rsid w:val="005A2FC3"/>
    <w:rsid w:val="005F1669"/>
    <w:rsid w:val="005F3DE8"/>
    <w:rsid w:val="00620FC5"/>
    <w:rsid w:val="006F1EE3"/>
    <w:rsid w:val="00742846"/>
    <w:rsid w:val="00766747"/>
    <w:rsid w:val="00795C81"/>
    <w:rsid w:val="007B6BE3"/>
    <w:rsid w:val="008735C1"/>
    <w:rsid w:val="00876B3E"/>
    <w:rsid w:val="00877555"/>
    <w:rsid w:val="008950BC"/>
    <w:rsid w:val="00912270"/>
    <w:rsid w:val="00972BE0"/>
    <w:rsid w:val="00975D9D"/>
    <w:rsid w:val="009A14DB"/>
    <w:rsid w:val="009E3F11"/>
    <w:rsid w:val="00A9204F"/>
    <w:rsid w:val="00AE71C8"/>
    <w:rsid w:val="00B3300B"/>
    <w:rsid w:val="00B76064"/>
    <w:rsid w:val="00BB7726"/>
    <w:rsid w:val="00C82ECA"/>
    <w:rsid w:val="00C83F50"/>
    <w:rsid w:val="00C92048"/>
    <w:rsid w:val="00CC07DD"/>
    <w:rsid w:val="00CF1900"/>
    <w:rsid w:val="00CF79DE"/>
    <w:rsid w:val="00D44FF0"/>
    <w:rsid w:val="00DF10C8"/>
    <w:rsid w:val="00E10167"/>
    <w:rsid w:val="00E101AA"/>
    <w:rsid w:val="00E47D37"/>
    <w:rsid w:val="00E54C33"/>
    <w:rsid w:val="00E81DBC"/>
    <w:rsid w:val="00E9645C"/>
    <w:rsid w:val="00EA6A24"/>
    <w:rsid w:val="00F33855"/>
    <w:rsid w:val="00F81529"/>
    <w:rsid w:val="00FC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A24"/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272622"/>
    <w:pPr>
      <w:keepNext/>
      <w:keepLines/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EA6A24"/>
    <w:rPr>
      <w:b/>
      <w:bCs/>
    </w:rPr>
  </w:style>
  <w:style w:type="paragraph" w:customStyle="1" w:styleId="style57">
    <w:name w:val="style57"/>
    <w:basedOn w:val="a"/>
    <w:rsid w:val="00EA6A2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A6A24"/>
    <w:rPr>
      <w:i/>
      <w:iCs/>
    </w:rPr>
  </w:style>
  <w:style w:type="paragraph" w:customStyle="1" w:styleId="style57style90">
    <w:name w:val="style57 style90"/>
    <w:basedOn w:val="a"/>
    <w:rsid w:val="00EA6A24"/>
    <w:pPr>
      <w:spacing w:before="100" w:beforeAutospacing="1" w:after="100" w:afterAutospacing="1"/>
    </w:pPr>
  </w:style>
  <w:style w:type="table" w:styleId="a5">
    <w:name w:val="Table Grid"/>
    <w:basedOn w:val="a1"/>
    <w:rsid w:val="00EA6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74">
    <w:name w:val="style74"/>
    <w:basedOn w:val="a0"/>
    <w:rsid w:val="004441CC"/>
  </w:style>
  <w:style w:type="character" w:styleId="-">
    <w:name w:val="Hyperlink"/>
    <w:basedOn w:val="a0"/>
    <w:rsid w:val="004441CC"/>
    <w:rPr>
      <w:color w:val="0000FF"/>
      <w:u w:val="single"/>
    </w:rPr>
  </w:style>
  <w:style w:type="paragraph" w:styleId="a6">
    <w:name w:val="Document Map"/>
    <w:basedOn w:val="a"/>
    <w:semiHidden/>
    <w:rsid w:val="007428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-0">
    <w:name w:val="FollowedHyperlink"/>
    <w:basedOn w:val="a0"/>
    <w:rsid w:val="00877555"/>
    <w:rPr>
      <w:color w:val="800080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272622"/>
    <w:rPr>
      <w:rFonts w:ascii="Cambria" w:eastAsia="SimSun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st">
    <w:name w:val="st"/>
    <w:basedOn w:val="a0"/>
    <w:rsid w:val="00E54C33"/>
  </w:style>
  <w:style w:type="paragraph" w:customStyle="1" w:styleId="Default">
    <w:name w:val="Default"/>
    <w:rsid w:val="00DF10C8"/>
    <w:pPr>
      <w:autoSpaceDE w:val="0"/>
      <w:autoSpaceDN w:val="0"/>
      <w:adjustRightInd w:val="0"/>
    </w:pPr>
    <w:rPr>
      <w:rFonts w:ascii="PHDMMO+Arial,Bold" w:hAnsi="PHDMMO+Arial,Bold" w:cs="PHDMMO+Arial,Bold"/>
      <w:color w:val="000000"/>
      <w:sz w:val="24"/>
      <w:szCs w:val="24"/>
    </w:rPr>
  </w:style>
  <w:style w:type="paragraph" w:styleId="a7">
    <w:name w:val="Title"/>
    <w:basedOn w:val="Default"/>
    <w:next w:val="Default"/>
    <w:link w:val="Char"/>
    <w:uiPriority w:val="99"/>
    <w:qFormat/>
    <w:rsid w:val="00DF10C8"/>
    <w:rPr>
      <w:rFonts w:cs="Times New Roman"/>
      <w:color w:val="auto"/>
    </w:rPr>
  </w:style>
  <w:style w:type="character" w:customStyle="1" w:styleId="Char">
    <w:name w:val="Τίτλος Char"/>
    <w:basedOn w:val="a0"/>
    <w:link w:val="a7"/>
    <w:uiPriority w:val="99"/>
    <w:rsid w:val="00DF10C8"/>
    <w:rPr>
      <w:rFonts w:ascii="PHDMMO+Arial,Bold" w:hAnsi="PHDMMO+Arial,Bold"/>
      <w:sz w:val="24"/>
      <w:szCs w:val="24"/>
    </w:rPr>
  </w:style>
  <w:style w:type="paragraph" w:customStyle="1" w:styleId="Author">
    <w:name w:val="Author"/>
    <w:basedOn w:val="Default"/>
    <w:next w:val="Default"/>
    <w:uiPriority w:val="99"/>
    <w:rsid w:val="00DF10C8"/>
    <w:rPr>
      <w:rFonts w:cs="Times New Roman"/>
      <w:color w:val="auto"/>
    </w:rPr>
  </w:style>
  <w:style w:type="paragraph" w:customStyle="1" w:styleId="Textkrper">
    <w:name w:val="Textkφrper"/>
    <w:basedOn w:val="Default"/>
    <w:next w:val="Default"/>
    <w:uiPriority w:val="99"/>
    <w:rsid w:val="00026143"/>
    <w:rPr>
      <w:rFonts w:ascii="IGLCGE+TimesNewRoman,Bold" w:hAnsi="IGLCGE+TimesNewRoman,Bold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nkar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ΤΙΤΛΟΣ ΜΑΘΗΜΑΤΟΣ</vt:lpstr>
    </vt:vector>
  </TitlesOfParts>
  <Company/>
  <LinksUpToDate>false</LinksUpToDate>
  <CharactersWithSpaces>5086</CharactersWithSpaces>
  <SharedDoc>false</SharedDoc>
  <HLinks>
    <vt:vector size="6" baseType="variant">
      <vt:variant>
        <vt:i4>3473410</vt:i4>
      </vt:variant>
      <vt:variant>
        <vt:i4>0</vt:i4>
      </vt:variant>
      <vt:variant>
        <vt:i4>0</vt:i4>
      </vt:variant>
      <vt:variant>
        <vt:i4>5</vt:i4>
      </vt:variant>
      <vt:variant>
        <vt:lpwstr>mailto:thankar@live.com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 ΜΑΘΗΜΑΤΟΣ</dc:title>
  <dc:creator>-</dc:creator>
  <cp:lastModifiedBy>user</cp:lastModifiedBy>
  <cp:revision>2</cp:revision>
  <dcterms:created xsi:type="dcterms:W3CDTF">2016-03-27T10:57:00Z</dcterms:created>
  <dcterms:modified xsi:type="dcterms:W3CDTF">2016-03-27T10:57:00Z</dcterms:modified>
</cp:coreProperties>
</file>