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064F">
        <w:rPr>
          <w:rFonts w:ascii="Arial" w:hAnsi="Arial" w:cs="Arial"/>
          <w:b/>
          <w:bCs/>
          <w:sz w:val="24"/>
          <w:szCs w:val="24"/>
        </w:rPr>
        <w:t>3.Μεθοδολογίες αποτίμησης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Για την αποτίμηση της αξίας της Εταιρείας χρησιμοποιήσαμε τις ακόλουθες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μεθόδους αποτίμησης: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064F">
        <w:rPr>
          <w:rFonts w:ascii="Arial" w:hAnsi="Arial" w:cs="Arial"/>
          <w:b/>
          <w:bCs/>
          <w:sz w:val="24"/>
          <w:szCs w:val="24"/>
        </w:rPr>
        <w:t>3.1 Αναπροσαρμοσμένη καθαρή θέση βάσει παρατηρήσεων πιστοποιητικού</w:t>
      </w:r>
      <w:r w:rsidR="005761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064F">
        <w:rPr>
          <w:rFonts w:ascii="Arial" w:hAnsi="Arial" w:cs="Arial"/>
          <w:b/>
          <w:bCs/>
          <w:sz w:val="24"/>
          <w:szCs w:val="24"/>
        </w:rPr>
        <w:t>ελέγχου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μέθοδος της αναπροσαρμοσμένης καθαρής θέσης είναι μια έμμεση μέθοδος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αποτίμησης της αξίας της επιχείρησης. Σύμφωνα με τη μέθοδο αυτή η αξία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επιχείρησης είναι ίση με την Καθαρή Θέση της όπως εμφανίζεται στον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Ισολογισμό κατά την ημερομηνία αποτίμησης, αφού προηγουμένως γίνουν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λογιστικές διορθώσεις στα στοιχεία του ενεργητικού και του παθητικού με βάση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τις παρατηρήσεις των πιστοποιητικών των Ορκωτών Ελεγκτών-Λογιστών.</w:t>
      </w:r>
    </w:p>
    <w:p w:rsid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Θα πρέπει να σημειωθεί ότι η μέθοδος αυτή είναι στατική, δηλαδή δεν λαμβάνει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υπόψη την αξία που προσδίδουν στην εταιρεία άλλα στοιχεία πέραν αυτών που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εμφανίζονται στις δημοσιευμένες καταστάσεις της, όπως η φήμη και η πελατεία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της, οι ικανότητες της Διοίκησης καθώς και οι προοπτικές της Εταιρείας για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πραγματοποίηση κερδών στο μέλλον. Για το λόγο αυτό, η συγκεκριμένη μέθοδος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χρησιμοποιείται σε συνδυασμό με άλλες αναγνωρισμένες μεθόδους αποτίμησης.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064F">
        <w:rPr>
          <w:rFonts w:ascii="Arial" w:hAnsi="Arial" w:cs="Arial"/>
          <w:b/>
          <w:bCs/>
          <w:sz w:val="24"/>
          <w:szCs w:val="24"/>
        </w:rPr>
        <w:t>3.2. Προεξόφληση ελεύθερων ταμειακών ροών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μέθοδος των Προεξοφλημένων Ελεύθερων Ταμειακών Ροών βασίζεται στην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παραδοχή ότι η αξία μιας επιχείρησης προκύπτει από την προεξόφληση των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μελλοντικών ταμειακών ροών που παράγει μέσω της καθημερινής και συνεχούς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λειτουργίας της. Για την εφαρμογή της μεθόδου καταρτίζονται Ισολογισμοί,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Καταστάσεις Αποτελεσμάτων Χρήσης και Καταστάσεις Ταμειακών Ροών με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βάση τις προβλέψεις διαφόρων μεγεθών (π.χ. πωλήσεων, επενδύσεων κλπ) για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την προσεχή πενταετία, όπως αυτές εκτιμήθηκαν από τους αρμόδιους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Εταιρείας.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Ανάλογα με τη λειτουργική δραστηριότητα, της προς αποτίμηση, Εταιρείας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υπάρχουν κυρίως δύο προσεγγίσεις: προεξόφληση ελεύθερων ταμειακών ροών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προς το σύνολο της Εταιρείας (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Free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 xml:space="preserve">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Cash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 xml:space="preserve">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Flows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 xml:space="preserve"> to the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Firm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) ή προς τους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μετόχους (</w:t>
      </w:r>
      <w:r w:rsidRPr="00AD064F">
        <w:rPr>
          <w:rFonts w:ascii="Arial" w:eastAsia="TimesNewRoman" w:hAnsi="Arial" w:cs="Arial"/>
          <w:sz w:val="24"/>
          <w:szCs w:val="24"/>
          <w:lang w:val="en-US"/>
        </w:rPr>
        <w:t>Free</w:t>
      </w:r>
      <w:r w:rsidRPr="00AD064F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  <w:lang w:val="en-US"/>
        </w:rPr>
        <w:t>Cash</w:t>
      </w:r>
      <w:r w:rsidRPr="00AD064F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  <w:lang w:val="en-US"/>
        </w:rPr>
        <w:t>Flows</w:t>
      </w:r>
      <w:r w:rsidRPr="00AD064F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  <w:lang w:val="en-US"/>
        </w:rPr>
        <w:t>to</w:t>
      </w:r>
      <w:r w:rsidRPr="00AD064F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  <w:lang w:val="en-US"/>
        </w:rPr>
        <w:t>Equity</w:t>
      </w:r>
      <w:r w:rsidRPr="00AD064F">
        <w:rPr>
          <w:rFonts w:ascii="Arial" w:eastAsia="TimesNewRoman" w:hAnsi="Arial" w:cs="Arial"/>
          <w:sz w:val="24"/>
          <w:szCs w:val="24"/>
        </w:rPr>
        <w:t xml:space="preserve">). Ως ελεύθερες ταμειακές ροές </w:t>
      </w:r>
      <w:r w:rsidRPr="00AD064F">
        <w:rPr>
          <w:rFonts w:ascii="Arial" w:eastAsia="TimesNewRoman" w:hAnsi="Arial" w:cs="Arial"/>
          <w:sz w:val="24"/>
          <w:szCs w:val="24"/>
        </w:rPr>
        <w:lastRenderedPageBreak/>
        <w:t>προς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εταιρεία ορίζονται οι ροές που απομένουν αφού καλυφθούν οι ανάγκες σε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κεφάλαια κίνησης, σε επενδύσεις, σε πάγιο εξοπλισμό καθώς και σε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χρηματοοικονομικές επενδύσεις και συμμετοχές. Στην περίπτωση των ελεύθερων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ταμειακών ροών προς τους μετόχους θα πρέπει να καλυφθούν επιπλέον των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ανωτέρω οι τόκοι και η εξόφληση των δανείων της Εταιρείας.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Για τον υπολογισμό των ροών απαιτούνται επομένως επιμέρους αναλύσεις τόσο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των εσόδων, εξόδων και των κεφαλαιουχικών επενδύσεων όσο και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κεφαλαιακής δομής και των αναγκών σε κεφάλαιο κίνησης της Εταιρείας.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ανάλυση εσόδων περιλαμβάνει πρόβλεψη εσόδων από τις πωλήσεις των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προϊόντων της Εταιρείας. Σε αυτή την ανάλυση λαμβάνονται υπόψη οι εξελίξεις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της αγοράς, οι συνθήκες ανταγωνισμού, οι μεταβολές του νομικού πλαισίου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λειτουργίας τους κλπ.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ανάλυση κεφαλαιουχικών επενδύσεων περιλαμβάνει επί μέρους αναλύσεις του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ελάχιστου απαιτούμενου κεφαλαίου κίνησης, των προϋπολογιζόμενων εξόδων για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επενδύσεις κεφαλαίου κλπ.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ανάλυση κεφαλαιακής δομής περιλαμβάνει επί μέρους αναλύσεις της παρούσας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δομής κεφαλαίου και του κόστους κεφαλαίου όπως καθορίζεται από το κόστος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κάθε επιμέρους στοιχείου του κεφαλαίου (δάνεια, ίδια κεφάλαια κλπ) και από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τους αντίστοιχους παράγοντες συστηματικού και μη συστηματικού κινδύνου.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Με βάση τα αποτελέσματα των παραπάνω αναλύσεων, διενεργείται πρόβλεψη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των ελεύθερων ταμειακών ροών που προκύπτουν από τη λειτουργία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επιχείρησης για το χρονικό ορίζοντα που προκαθορίστηκε και οι οποίες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προεξοφλούνται με το κατάλληλο προεξοφλητικό επιτόκιο. Tο προεξοφλητικό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αυτό επιτόκιο εκφράζει είτε το μέσο σταθμικό κόστος κεφαλαίων της εταιρείας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(Μ.Σ.Κ.Κ.) στην περίπτωση των ελεύθερων ταμειακών ροών προς το σύνολο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εταιρείας, είτε το κόστος των ιδίων κεφαλαίων στην περίπτωση των ελεύθερων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ταμειακών ροών προς τους μετόχους.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Επιπρόσθετα, υπολογίζεται η παρούσα αξία των ελεύθερων ταμειακών ροών που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ακολουθούν μετά από το τέλος του χρονικού διαστήματος για το οποίο γίνονται οι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προβλέψεις (υπολειμματική αξία). Η τελική αξία της Εταιρείας προκύπτει από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άθροιση των προεξοφλημένων ταμειακών ροών της περιόδου πρόβλεψης και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 xml:space="preserve">υπολειμματικής αξίας της Εταιρείας κατά την </w:t>
      </w:r>
      <w:r w:rsidRPr="00AD064F">
        <w:rPr>
          <w:rFonts w:ascii="Arial" w:eastAsia="TimesNewRoman" w:hAnsi="Arial" w:cs="Arial"/>
          <w:sz w:val="24"/>
          <w:szCs w:val="24"/>
        </w:rPr>
        <w:lastRenderedPageBreak/>
        <w:t>ημερομηνία αποτίμησης. Η αξία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των ιδίων κεφαλαίων της εταιρείας προκύπτει εάν από την αξία της εταιρείας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αφαιρεθεί η αγοραία αξία των υφιστάμενων δανείων της εταιρείας κατά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ημερομηνία αποτίμησης.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Ο υπολογισμός της υπολειμματικής αξίας περιλαμβάνει τον προσδιορισμό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ταμειακής ροής που παράγει η εταιρεία μετά το τέλος της περιόδου για την οποία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γίνονται συγκεκριμένες προβλέψεις και μπορεί να υπολογιστεί με διάφορους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τρόπους.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Ο καθορισμός του προεξοφλητικού επιτοκίου εξαρτάται από το εάν οι ταμειακές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ροές που προεξοφλούνται είναι πριν την εξυπηρέτηση του καθαρού δανεισμού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της εταιρείας, οπότε εφαρμόζεται το Μ.Σ.Κ.Κ. ή άλλως εφαρμόζεται η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προεξόφληση με το κόστος του μετοχικού κεφαλαίου.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Το κόστος μετοχικού κεφαλαίου εκφράζει την ελάχιστη απόδοση που θα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απαιτούσε ένας επενδυτής προκειμένου να αποκτήσει μετοχές στην εταιρεία. Το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κόστος αυτό εκτιμήθηκε με το Υπόδειγμα Αποτίμησης Κεφαλαιακών Στοιχείων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 xml:space="preserve">(Capital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Asset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 xml:space="preserve"> Pricing Model ή «CAMP») βάσει της ακόλουθης σχέσης: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  <w:lang w:val="en-US"/>
        </w:rPr>
      </w:pPr>
      <w:r w:rsidRPr="00AD064F">
        <w:rPr>
          <w:rFonts w:ascii="Arial" w:eastAsia="TimesNewRoman" w:hAnsi="Arial" w:cs="Arial"/>
          <w:sz w:val="24"/>
          <w:szCs w:val="24"/>
          <w:lang w:val="en-US"/>
        </w:rPr>
        <w:t>Ke=Rf+</w:t>
      </w:r>
      <w:r w:rsidRPr="00AD064F">
        <w:rPr>
          <w:rFonts w:ascii="Arial" w:eastAsia="TimesNewRoman" w:hAnsi="Arial" w:cs="Arial"/>
          <w:sz w:val="24"/>
          <w:szCs w:val="24"/>
        </w:rPr>
        <w:t>β</w:t>
      </w:r>
      <w:r w:rsidRPr="00AD064F">
        <w:rPr>
          <w:rFonts w:ascii="Arial" w:eastAsia="TimesNewRoman" w:hAnsi="Arial" w:cs="Arial"/>
          <w:sz w:val="24"/>
          <w:szCs w:val="24"/>
          <w:lang w:val="en-US"/>
        </w:rPr>
        <w:t>*(Rm-Rf)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  <w:lang w:val="en-US"/>
        </w:rPr>
      </w:pPr>
      <w:r w:rsidRPr="00AD064F">
        <w:rPr>
          <w:rFonts w:ascii="Arial" w:eastAsia="TimesNewRoman" w:hAnsi="Arial" w:cs="Arial"/>
          <w:sz w:val="24"/>
          <w:szCs w:val="24"/>
        </w:rPr>
        <w:t>Όπου</w:t>
      </w:r>
      <w:r w:rsidRPr="00AD064F">
        <w:rPr>
          <w:rFonts w:ascii="Arial" w:eastAsia="TimesNewRoman" w:hAnsi="Arial" w:cs="Arial"/>
          <w:sz w:val="24"/>
          <w:szCs w:val="24"/>
          <w:lang w:val="en-US"/>
        </w:rPr>
        <w:t>: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Ke : το κόστος μετοχικού κεφαλαίου της Εταιρείας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Rf : η απόδοση μηδενικού (άνευ) κινδύνου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 xml:space="preserve">Β : ο συντελεστής κινδύνου β (beta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coefficient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)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proofErr w:type="spellStart"/>
      <w:r w:rsidRPr="00AD064F">
        <w:rPr>
          <w:rFonts w:ascii="Arial" w:eastAsia="TimesNewRoman" w:hAnsi="Arial" w:cs="Arial"/>
          <w:sz w:val="24"/>
          <w:szCs w:val="24"/>
        </w:rPr>
        <w:t>Rm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-Rf : η προσαύξηση κίνδυνου κεφαλαιαγοράς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μέθοδος CAPM είναι από τις πιο διαδεδομένες και επιστημονικά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τεκμηριωμένες μεθόδους υπολογισμού προεξοφλητικού επιτοκίου για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αποτίμηση επιχειρήσεων. Ειδικότερα, για την εκτίμηση του κόστους κεφαλαίου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γίνονται ορισμένες παραδοχές σχετικά με τους παράγοντες κινδύνου και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αναμενόμενη απόδοση της επιχείρησης, οι οποίες περιγράφονται στη συνέχεια.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 w:rsidRPr="00AD064F">
        <w:rPr>
          <w:rFonts w:ascii="Arial" w:eastAsia="TimesNewRoman" w:hAnsi="Arial" w:cs="Arial"/>
          <w:b/>
          <w:bCs/>
          <w:sz w:val="24"/>
          <w:szCs w:val="24"/>
        </w:rPr>
        <w:t>Απόδοση Άνευ Κινδύνου (Rf)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Ως απόδοση άνευ κινδύνου θεωρείται η ελάχιστη άνευ κινδύνου απόδοση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οποία θα απαιτούσε ένας λογικός επενδυτής από μία επένδυση σε ευρώ.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απόδοση αυτή θεωρείται ότι προσφέρουν τα ομόλογα του Ελληνικού Δημοσίου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 xml:space="preserve">(ΟΕΔ) διάρκειας αντίστοιχης με εκείνη της προς αποτίμηση </w:t>
      </w:r>
      <w:r w:rsidRPr="00AD064F">
        <w:rPr>
          <w:rFonts w:ascii="Arial" w:eastAsia="TimesNewRoman" w:hAnsi="Arial" w:cs="Arial"/>
          <w:sz w:val="24"/>
          <w:szCs w:val="24"/>
        </w:rPr>
        <w:lastRenderedPageBreak/>
        <w:t>επένδυσης.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Προκειμένου για μια μακροχρόνια επένδυση, όπως είναι η επένδυση σε μετοχές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μιας μη εισηγμένης στο χρηματιστήριο Εταιρείας, συνήθως επιλέγεται το μετά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 xml:space="preserve">φόρων σταθερό επιτόκιο έκδοσης του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δεκατετούς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 xml:space="preserve"> ΟΕΔ. Κατά την ημερομηνία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εργασίας μας η απόδοση στη λήξη δεκαετούς ΟΕΔ λήξης 20/5/2014, ανερχόταν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σε 4,50% προ φόρων και, λαμβάνοντας υπόψη συντελεστή φορολόγησης 10%, σε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4,05% μετά από φόρους.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 w:rsidRPr="00AD064F">
        <w:rPr>
          <w:rFonts w:ascii="Arial" w:eastAsia="TimesNewRoman" w:hAnsi="Arial" w:cs="Arial"/>
          <w:b/>
          <w:bCs/>
          <w:sz w:val="24"/>
          <w:szCs w:val="24"/>
        </w:rPr>
        <w:t>Προσαύξηση Κινδύνου Κεφαλαιαγοράς (</w:t>
      </w:r>
      <w:proofErr w:type="spellStart"/>
      <w:r w:rsidRPr="00AD064F">
        <w:rPr>
          <w:rFonts w:ascii="Arial" w:eastAsia="TimesNewRoman" w:hAnsi="Arial" w:cs="Arial"/>
          <w:b/>
          <w:bCs/>
          <w:sz w:val="24"/>
          <w:szCs w:val="24"/>
        </w:rPr>
        <w:t>Rm</w:t>
      </w:r>
      <w:proofErr w:type="spellEnd"/>
      <w:r w:rsidRPr="00AD064F">
        <w:rPr>
          <w:rFonts w:ascii="Arial" w:eastAsia="TimesNewRoman" w:hAnsi="Arial" w:cs="Arial"/>
          <w:b/>
          <w:bCs/>
          <w:sz w:val="24"/>
          <w:szCs w:val="24"/>
        </w:rPr>
        <w:t>)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Σύμφωνα με την οικονομική θεωρία, ένας επενδυτής που τοποθετεί τα κεφάλαιά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του σε μετοχές μιας Εταιρείας μπορεί δικαιολογημένα να απαιτεί μια αυξημένη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απόδοση σε σχέση με αυτή των ανωτέρω κρατικών ομολόγων ή άλλης επένδυσης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μηδενικού κινδύνου, ως αποζημίωση για το υψηλότερο ρίσκο που αναλαμβάνει.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Η ποσοτικοποίηση της διαφοράς αυτής είναι γνωστή ως προσαύξηση κινδύνου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κεφαλαιαγοράς (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Rm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).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Η προσαύξηση κινδύνου κεφαλαιαγοράς εξαρτάται από πολλούς παράγοντες, ο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σημαντικότερος εκ των οποίων σχετίζεται με τις αποδόσεις του συνόλου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κεφαλαιαγοράς και τη γενικότερη κατάσταση της οικονομίας.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Μελέτες που αναλύουν αντίστοιχες αγορές των ΗΠΑ, μεταξύ των οποίων και η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 xml:space="preserve">μελέτη της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Ibbotson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 xml:space="preserve"> 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Associates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, χρησιμοποιώντας διαφορετικές μεθόδους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συλλογής και ανάλυσης στατιστικών στοιχείων, καταλήγουν σε προσαύξηση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κινδύνου η οποία κυμαίνεται μεταξύ 4% και 6%.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Βάσει των ανωτέρω και σταθμίζοντας τόσο τις ιδιαιτερότητες της Ελληνικής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κεφαλαιαγοράς όσο και τις πρόσφατες οικονομικές εξελίξεις στις διεθνείς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κεφαλαιαγορές, εκτιμούμε ότι η προσαύξηση του κινδύνου που αρμόζει στην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φύση των προς αποτίμηση εταιρειών και τους σκοπούς της παρούσας έκθεσης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ανέρχεται στο 5%.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 w:rsidRPr="00AD064F">
        <w:rPr>
          <w:rFonts w:ascii="Arial" w:eastAsia="TimesNewRoman" w:hAnsi="Arial" w:cs="Arial"/>
          <w:b/>
          <w:bCs/>
          <w:sz w:val="24"/>
          <w:szCs w:val="24"/>
        </w:rPr>
        <w:t xml:space="preserve">Συντελεστής Κινδύνου β (beta </w:t>
      </w:r>
      <w:proofErr w:type="spellStart"/>
      <w:r w:rsidRPr="00AD064F">
        <w:rPr>
          <w:rFonts w:ascii="Arial" w:eastAsia="TimesNewRoman" w:hAnsi="Arial" w:cs="Arial"/>
          <w:b/>
          <w:bCs/>
          <w:sz w:val="24"/>
          <w:szCs w:val="24"/>
        </w:rPr>
        <w:t>coefficient</w:t>
      </w:r>
      <w:proofErr w:type="spellEnd"/>
      <w:r w:rsidRPr="00AD064F">
        <w:rPr>
          <w:rFonts w:ascii="Arial" w:eastAsia="TimesNewRoman" w:hAnsi="Arial" w:cs="Arial"/>
          <w:b/>
          <w:bCs/>
          <w:sz w:val="24"/>
          <w:szCs w:val="24"/>
        </w:rPr>
        <w:t>)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Σε σχέση με την μέτρηση του κινδύνου που αναλαμβάνει ένας επενδυτής,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τοποθετώντας τα κεφάλαιά του στις μετοχές μιας Εταιρείας, απαιτείται επιπλέον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προσαρμογή στον υπολογισμό του κόστους κεφαλαίου η οποία εκφράζεται από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τον συντελεστή βήτα (β).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Ο συντελεστής β ενσωματώνει στο κόστος μετοχικού κεφαλαίου παράγοντες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κινδύνου που σχετίζονται με τον κλάδο στον οποίο δραστηριοποιείται μία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εταιρεία.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lastRenderedPageBreak/>
        <w:t>Ειδικότερα, ο εν λόγω συντελεστής αποτελεί ένα στατιστικό μέτρο ποσοτικής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απεικόνισης του κινδύνου μιας επένδυσης σε σχέση με την αγορά στο σύνολό της,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καθώς υποδηλώνει την ευαισθησία της απόδοσης μιας συγκεκριμένης μετοχής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στις διακυμάνσεις της αγοράς.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Συγκεκριμένα, συντελεστής β μεγαλύτερος της μονάδας (&gt;1) αποτελεί ένδειξη ότι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η επένδυση εμπεριέχει μεγαλύτερο κίνδυνο από ότι η αγορά στο σύνολό της, ενώ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συντελεστής β μικρότερος της μονάδας (&lt;1) το αντίθετο. Ο μέσος επενδυτής,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τοποθετώντας τα κεφάλαιά του σε μετοχές μιας εταιρείας με υψηλότερο κίνδυνο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(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β&gt;1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) αναμένει απόδοση μεγαλύτερη από την απόδοση μιας μετοχής με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μικρότερο κίνδυνο (β&lt;1).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συνήθης μέθοδος εκτίμησης του συντελεστή β μιας μη εισηγμένης στο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χρηματιστήριο Εταιρείας είναι η ανάλυση των αντίστοιχων συντελεστών που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ισχύουν για συγκρίσιμες εταιρείες εισηγμένες σε κάποιο χρηματιστήριο.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Σύμφωνα με τα ανωτέρω, το ύψος των προεξοφλητικών επιτοκίων που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εφαρμόστηκαν για την αποτίμηση κάθε μιας από τις εταιρείες υπολογίστηκαν ως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εξής :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Απόδοση μηδενικού επιτοκίου (Rf) 4,05%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Προσαύξηση κινδύνου κεφαλαιαγοράς (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Rm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-Rf) 5,00%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Συντελεστής κινδύνου Β (Β) 0,45%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Προεξοφλητικό επιτόκιο (</w:t>
      </w:r>
      <w:proofErr w:type="spellStart"/>
      <w:r w:rsidRPr="00AD064F">
        <w:rPr>
          <w:rFonts w:ascii="Arial" w:eastAsia="TimesNewRoman" w:hAnsi="Arial" w:cs="Arial"/>
          <w:sz w:val="24"/>
          <w:szCs w:val="24"/>
        </w:rPr>
        <w:t>Κe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>) 8,55%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 w:rsidRPr="00AD064F">
        <w:rPr>
          <w:rFonts w:ascii="Arial" w:eastAsia="TimesNewRoman" w:hAnsi="Arial" w:cs="Arial"/>
          <w:b/>
          <w:bCs/>
          <w:sz w:val="24"/>
          <w:szCs w:val="24"/>
        </w:rPr>
        <w:t>Παρούσα αξία στο Διηνεκές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proofErr w:type="spellStart"/>
      <w:r w:rsidRPr="00AD064F">
        <w:rPr>
          <w:rFonts w:ascii="Arial" w:eastAsia="TimesNewRoman" w:hAnsi="Arial" w:cs="Arial"/>
          <w:sz w:val="24"/>
          <w:szCs w:val="24"/>
        </w:rPr>
        <w:t>Οπως</w:t>
      </w:r>
      <w:proofErr w:type="spellEnd"/>
      <w:r w:rsidRPr="00AD064F">
        <w:rPr>
          <w:rFonts w:ascii="Arial" w:eastAsia="TimesNewRoman" w:hAnsi="Arial" w:cs="Arial"/>
          <w:sz w:val="24"/>
          <w:szCs w:val="24"/>
        </w:rPr>
        <w:t xml:space="preserve"> προαναφέραμε η τελική αξία μιας επιχείρησης προσδιορίζεται από την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ακόλουθη σχέση: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Αξία Επιχείρησης = Παρούσα Αξία Μελλοντικών Ταμειακών Ροών + Παρούσα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Αξία στο διηνεκές (υπολειμματική αξία).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παρούσα αξία των μελλοντικών ταμειακών ροών μιας εταιρείας υπολογίζεται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κατά την προεξόφληση των ταμειακών ροών μιας συγκεκριμένης χρονικής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περιόδου για την οποία υπάρχουν συγκεκριμένες προβλέψεις. Η παρούσα αξία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στο διηνεκές εκφράζει το ύψος του κεφαλαίου το οποίο ένας επενδυτής θα ήταν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διατεθειμένος να επενδύσει σε μια εταιρεία, προκειμένου να απολαμβάνει το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σύνολο των μελλοντικών ταμειακών ροών που θα προκύψουν μετά το πέρας της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ανωτέρω περιόδου των προβλέψεων.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lastRenderedPageBreak/>
        <w:t>Ο προσδιορισμός των μελλοντικών αυτών εσόδων προϋποθέτει την εκτίμηση του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ρυθμού ανάπτυξης μιας εταιρείας στο διηνεκές, λαμβάνοντας υπόψη τη δυναμική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και τις προοπτικές της.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Για την περίοδο αυτή, οι αποσβέσεις, οι κεφαλαιουχικές δαπάνες και οι ανάγκες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σε κεφάλαια κίνησης της εταιρείας αναπροσαρμόζονται έτσι ώστε να εκφράζουν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τα αποτελέσματα που πραγματοποιεί μια εταιρεία σε κατάσταση ισορροπίας και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ωρίμανσης των εργασιών της.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Οι ταμειακές ροές της περιόδου αυτής, ήτοι μετά το 2009, προεξοφλούνται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χρησιμοποιώντας το ίδιο προεξοφλητικό επιτόκιο με αυτό που χρησιμοποιείται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κατά την προεξόφληση των ταμειακών ροών της περιόδου των προβλέψεων,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προσαρμοσμένο ως προς τον συντελεστή ανάπτυξης της εταιρείας εις το διηνεκές.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Η παραδοχή που έγινε για τον ονομαστικό ρυθμό ανάπτυξης των εταιρειών στο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διηνεκές είναι 3%.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Με βάση την ανωτέρω μέθοδο προεξοφλητικών ταμειακών ροών προσδιορίζεται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η αξία μιας εταιρείας. Ενδέχεται όμως από τις προς αποτίμηση εταιρείες μερικές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να διαθέτουν περιουσιακά στοιχεία όπως χαρτοφυλάκια χρεογράφων, συμμετοχές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σε ομοειδείς ή/ και σε άλλες εταιρείες, πλεονάζοντα πάγια ή/ και υποχρεώσεις,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καθώς επίσης και σημαντικά επίπεδα διαθεσίμων ή/ και δανεισμού. Σε αυτές τις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περιπτώσεις, η πραγματική αξία μιας εταιρείας προκύπτει βάσει της ακόλουθης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σχέσης :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>
        <w:rPr>
          <w:rFonts w:ascii="Arial" w:eastAsia="TimesNewRoman" w:hAnsi="Arial" w:cs="Arial"/>
          <w:b/>
          <w:bCs/>
          <w:sz w:val="24"/>
          <w:szCs w:val="24"/>
        </w:rPr>
        <w:t xml:space="preserve">1) </w:t>
      </w:r>
      <w:r w:rsidRPr="00AD064F">
        <w:rPr>
          <w:rFonts w:ascii="Arial" w:eastAsia="TimesNewRoman" w:hAnsi="Arial" w:cs="Arial"/>
          <w:b/>
          <w:bCs/>
          <w:sz w:val="24"/>
          <w:szCs w:val="24"/>
        </w:rPr>
        <w:t xml:space="preserve">Παρούσα </w:t>
      </w:r>
      <w:proofErr w:type="spellStart"/>
      <w:r w:rsidRPr="00AD064F">
        <w:rPr>
          <w:rFonts w:ascii="Arial" w:eastAsia="TimesNewRoman" w:hAnsi="Arial" w:cs="Arial"/>
          <w:b/>
          <w:bCs/>
          <w:sz w:val="24"/>
          <w:szCs w:val="24"/>
        </w:rPr>
        <w:t>Αξια</w:t>
      </w:r>
      <w:proofErr w:type="spellEnd"/>
      <w:r w:rsidRPr="00AD064F">
        <w:rPr>
          <w:rFonts w:ascii="Arial" w:eastAsia="TimesNewRoman" w:hAnsi="Arial" w:cs="Arial"/>
          <w:b/>
          <w:bCs/>
          <w:sz w:val="24"/>
          <w:szCs w:val="24"/>
        </w:rPr>
        <w:t xml:space="preserve"> των Μελλοντικών Ταμειακών Ροών (περιόδου προβλέψεων)</w:t>
      </w:r>
      <w:r>
        <w:rPr>
          <w:rFonts w:ascii="Arial" w:eastAsia="TimesNewRoman" w:hAnsi="Arial" w:cs="Arial"/>
          <w:b/>
          <w:bCs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b/>
          <w:sz w:val="24"/>
          <w:szCs w:val="24"/>
        </w:rPr>
        <w:t>+ Παρούσα Αξία στο Διηνεκές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b/>
          <w:bCs/>
          <w:sz w:val="24"/>
          <w:szCs w:val="24"/>
        </w:rPr>
        <w:t>= Αξία Επιχείρησης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>
        <w:rPr>
          <w:rFonts w:ascii="Arial" w:eastAsia="TimesNewRoman" w:hAnsi="Arial" w:cs="Arial"/>
          <w:b/>
          <w:bCs/>
          <w:sz w:val="24"/>
          <w:szCs w:val="24"/>
        </w:rPr>
        <w:t xml:space="preserve">2) </w:t>
      </w:r>
      <w:r w:rsidRPr="00AD064F">
        <w:rPr>
          <w:rFonts w:ascii="Arial" w:eastAsia="TimesNewRoman" w:hAnsi="Arial" w:cs="Arial"/>
          <w:b/>
          <w:bCs/>
          <w:sz w:val="24"/>
          <w:szCs w:val="24"/>
        </w:rPr>
        <w:t>Αξία Επιχείρησης</w:t>
      </w:r>
      <w:r w:rsidRPr="00AD064F">
        <w:rPr>
          <w:rFonts w:ascii="Arial" w:eastAsia="TimesNewRoman" w:hAnsi="Arial" w:cs="Arial"/>
          <w:sz w:val="24"/>
          <w:szCs w:val="24"/>
        </w:rPr>
        <w:t xml:space="preserve"> + Παρούσα Αξία Συμμετοχών</w:t>
      </w:r>
      <w:r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+ Πλεόνασμα Πάγια/ Υποχρεώσεις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+ Αγοραία Αξία Διαθεσίμων / Δανεισμού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b/>
          <w:bCs/>
          <w:sz w:val="24"/>
          <w:szCs w:val="24"/>
        </w:rPr>
        <w:t>= Συνολική Αξία Επιχείρησης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Επισημαίνεται ότι οι συμμετοχές της εταιρείας αποτιμώνται χωριστά με κάποια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από τις μεθόδους ανάλογα με την περίπτωση και η αξία τους προστίθεται στην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τελική αξία όπως έχει υπολογιστεί με την παραπάνω μέθοδο.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 w:rsidRPr="00AD064F">
        <w:rPr>
          <w:rFonts w:ascii="Arial" w:eastAsia="TimesNewRoman" w:hAnsi="Arial" w:cs="Arial"/>
          <w:b/>
          <w:bCs/>
          <w:sz w:val="24"/>
          <w:szCs w:val="24"/>
        </w:rPr>
        <w:t>Ανάλυση Ευαισθησίας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Η αξία μιας εταιρείας όπως προκύπτει βάσει της μεθόδου προεξοφλημένων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ελεύθερων ταμειακών ροών, πάντοτε εξετάζεται για την ευαισθησία των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αποτελεσμάτων στα οποία καταλήγει ως προς τη μεταβολή βασικών παραδοχών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 xml:space="preserve">που περιλαμβάνονται στο χρηματοοικονομικό μοντέλο. Οι </w:t>
      </w:r>
      <w:r w:rsidRPr="00AD064F">
        <w:rPr>
          <w:rFonts w:ascii="Arial" w:eastAsia="TimesNewRoman" w:hAnsi="Arial" w:cs="Arial"/>
          <w:sz w:val="24"/>
          <w:szCs w:val="24"/>
        </w:rPr>
        <w:lastRenderedPageBreak/>
        <w:t>μεταβλητές που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εξετάζονται και τα περιθώρια μεταβολών τους εξαρτώνται από τα ιδιαίτερα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χαρακτηριστικά της, προς αποτίμηση, εταιρείας.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 w:rsidRPr="00AD064F">
        <w:rPr>
          <w:rFonts w:ascii="Arial" w:eastAsia="TimesNewRoman" w:hAnsi="Arial" w:cs="Arial"/>
          <w:b/>
          <w:bCs/>
          <w:sz w:val="24"/>
          <w:szCs w:val="24"/>
        </w:rPr>
        <w:t>3.3 Κεφαλαιοποίηση μέσου όρου των πιθανών κερδών της προσεχούς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b/>
          <w:bCs/>
          <w:sz w:val="24"/>
          <w:szCs w:val="24"/>
        </w:rPr>
      </w:pPr>
      <w:r w:rsidRPr="00AD064F">
        <w:rPr>
          <w:rFonts w:ascii="Arial" w:eastAsia="TimesNewRoman" w:hAnsi="Arial" w:cs="Arial"/>
          <w:b/>
          <w:bCs/>
          <w:sz w:val="24"/>
          <w:szCs w:val="24"/>
        </w:rPr>
        <w:t>πενταετίας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Στη μέθοδο αυτή κυριαρχεί η σκέψη ότι ο μέτοχος πρέπει να αποκομίσει από την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επιχείρηση ετήσια κέρδη ίσα τουλάχιστον με το εισόδημα από τόκους που θα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αποκόμιζε από τα κεφάλαια τα οποία θα διαθέσει για την αγορά της επιχειρήσεως.</w:t>
      </w:r>
    </w:p>
    <w:p w:rsidR="00AD064F" w:rsidRPr="00AD064F" w:rsidRDefault="00AD064F" w:rsidP="00AD06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  <w:sz w:val="24"/>
          <w:szCs w:val="24"/>
        </w:rPr>
      </w:pPr>
      <w:r w:rsidRPr="00AD064F">
        <w:rPr>
          <w:rFonts w:ascii="Arial" w:eastAsia="TimesNewRoman" w:hAnsi="Arial" w:cs="Arial"/>
          <w:sz w:val="24"/>
          <w:szCs w:val="24"/>
        </w:rPr>
        <w:t>Γι’ αυτό λοιπόν κεφαλαιοποιείται ο μέσος όρος των οργανικών κερδών που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προβλέπεται να υπάρξουν στην επόμενη πενταετία με το τρέχον επιτόκιο</w:t>
      </w:r>
      <w:r w:rsidR="00336ABE">
        <w:rPr>
          <w:rFonts w:ascii="Arial" w:eastAsia="TimesNewRoman" w:hAnsi="Arial" w:cs="Arial"/>
          <w:sz w:val="24"/>
          <w:szCs w:val="24"/>
        </w:rPr>
        <w:t xml:space="preserve"> </w:t>
      </w:r>
      <w:r w:rsidRPr="00AD064F">
        <w:rPr>
          <w:rFonts w:ascii="Arial" w:eastAsia="TimesNewRoman" w:hAnsi="Arial" w:cs="Arial"/>
          <w:sz w:val="24"/>
          <w:szCs w:val="24"/>
        </w:rPr>
        <w:t>τοποθετήσεως.</w:t>
      </w:r>
    </w:p>
    <w:sectPr w:rsidR="00AD064F" w:rsidRPr="00AD064F" w:rsidSect="0028610D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71" w:rsidRDefault="00B76F71" w:rsidP="009150DA">
      <w:pPr>
        <w:spacing w:after="0" w:line="240" w:lineRule="auto"/>
      </w:pPr>
      <w:r>
        <w:separator/>
      </w:r>
    </w:p>
  </w:endnote>
  <w:endnote w:type="continuationSeparator" w:id="0">
    <w:p w:rsidR="00B76F71" w:rsidRDefault="00B76F71" w:rsidP="0091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8819"/>
      <w:docPartObj>
        <w:docPartGallery w:val="Page Numbers (Bottom of Page)"/>
        <w:docPartUnique/>
      </w:docPartObj>
    </w:sdtPr>
    <w:sdtContent>
      <w:p w:rsidR="009150DA" w:rsidRDefault="00C43E6C">
        <w:pPr>
          <w:pStyle w:val="a4"/>
          <w:jc w:val="right"/>
        </w:pPr>
        <w:fldSimple w:instr=" PAGE   \* MERGEFORMAT ">
          <w:r w:rsidR="00576186">
            <w:rPr>
              <w:noProof/>
            </w:rPr>
            <w:t>7</w:t>
          </w:r>
        </w:fldSimple>
      </w:p>
    </w:sdtContent>
  </w:sdt>
  <w:p w:rsidR="009150DA" w:rsidRDefault="009150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71" w:rsidRDefault="00B76F71" w:rsidP="009150DA">
      <w:pPr>
        <w:spacing w:after="0" w:line="240" w:lineRule="auto"/>
      </w:pPr>
      <w:r>
        <w:separator/>
      </w:r>
    </w:p>
  </w:footnote>
  <w:footnote w:type="continuationSeparator" w:id="0">
    <w:p w:rsidR="00B76F71" w:rsidRDefault="00B76F71" w:rsidP="00915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64F"/>
    <w:rsid w:val="00221813"/>
    <w:rsid w:val="0028610D"/>
    <w:rsid w:val="00336ABE"/>
    <w:rsid w:val="00576186"/>
    <w:rsid w:val="009150DA"/>
    <w:rsid w:val="00AD064F"/>
    <w:rsid w:val="00B76F71"/>
    <w:rsid w:val="00C4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150DA"/>
  </w:style>
  <w:style w:type="paragraph" w:styleId="a4">
    <w:name w:val="footer"/>
    <w:basedOn w:val="a"/>
    <w:link w:val="Char0"/>
    <w:uiPriority w:val="99"/>
    <w:unhideWhenUsed/>
    <w:rsid w:val="009150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15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1938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2014-07-28T17:35:00Z</dcterms:created>
  <dcterms:modified xsi:type="dcterms:W3CDTF">2015-01-07T18:28:00Z</dcterms:modified>
</cp:coreProperties>
</file>