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9D" w:rsidRDefault="00880C9D" w:rsidP="00A15DEC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noProof/>
          <w:color w:val="3972A1"/>
        </w:rPr>
        <w:drawing>
          <wp:inline distT="0" distB="0" distL="0" distR="0">
            <wp:extent cx="2600325" cy="1143000"/>
            <wp:effectExtent l="19050" t="0" r="9525" b="0"/>
            <wp:docPr id="2" name="Εικόνα 1" descr="tei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i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51C" w:rsidRDefault="0056273E" w:rsidP="00B2451C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  <w:lang w:val="en-US"/>
        </w:rPr>
      </w:pPr>
      <w:r w:rsidRPr="00A23DA6">
        <w:rPr>
          <w:rFonts w:ascii="Arial" w:hAnsi="Arial" w:cs="Arial"/>
          <w:sz w:val="22"/>
          <w:szCs w:val="22"/>
        </w:rPr>
        <w:t xml:space="preserve">ΣΧΟΛΗ ΔΙΟΙΚΗΣΗΣ ΟΙΚΟΝΟΜΙΑΣ </w:t>
      </w:r>
    </w:p>
    <w:p w:rsidR="00B2451C" w:rsidRDefault="00B2451C" w:rsidP="00B2451C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ΤΜΗΜΑ ΛΟΓΙΣΤΙΚΗΣ ΚΑΙ ΧΡΗΜΑΤΟΟΙΚΟΝΟΜΙΚΗΣ</w:t>
      </w:r>
    </w:p>
    <w:p w:rsidR="008D21DF" w:rsidRDefault="008D21DF" w:rsidP="00B2451C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ΜΑΘΗΜΑ: </w:t>
      </w:r>
      <w:r w:rsidR="00DF55EC" w:rsidRPr="00275122">
        <w:rPr>
          <w:rFonts w:ascii="Arial" w:hAnsi="Arial" w:cs="Arial"/>
          <w:b/>
          <w:sz w:val="22"/>
          <w:szCs w:val="22"/>
        </w:rPr>
        <w:t>ΑΞΙΟΛΟΓΗΣΗ ΕΠΕΝΔΥΣΕΩΝ</w:t>
      </w:r>
      <w:r w:rsidR="00DF55EC">
        <w:rPr>
          <w:rFonts w:ascii="Arial" w:hAnsi="Arial" w:cs="Arial"/>
          <w:sz w:val="22"/>
          <w:szCs w:val="22"/>
        </w:rPr>
        <w:t xml:space="preserve"> </w:t>
      </w:r>
    </w:p>
    <w:p w:rsidR="0056273E" w:rsidRDefault="0056273E" w:rsidP="00A15D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23DA6">
        <w:rPr>
          <w:rFonts w:ascii="Arial" w:hAnsi="Arial" w:cs="Arial"/>
          <w:sz w:val="22"/>
          <w:szCs w:val="22"/>
        </w:rPr>
        <w:t xml:space="preserve">ΕΙΣΗΓΗΤΗΣ: </w:t>
      </w:r>
      <w:r w:rsidR="00F721C0">
        <w:rPr>
          <w:rFonts w:ascii="Arial" w:hAnsi="Arial" w:cs="Arial"/>
          <w:sz w:val="22"/>
          <w:szCs w:val="22"/>
        </w:rPr>
        <w:t xml:space="preserve">Δρ. </w:t>
      </w:r>
      <w:r w:rsidRPr="00A23DA6">
        <w:rPr>
          <w:rFonts w:ascii="Arial" w:hAnsi="Arial" w:cs="Arial"/>
          <w:sz w:val="22"/>
          <w:szCs w:val="22"/>
        </w:rPr>
        <w:t>ΚΥΡΙΑΖΟΠΟΥΛΟΣ ΓΕΩΡΓΙΟΣ</w:t>
      </w:r>
    </w:p>
    <w:p w:rsidR="00916AAE" w:rsidRPr="00A23DA6" w:rsidRDefault="00916AAE" w:rsidP="00A15D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6273E" w:rsidRPr="002D1F71" w:rsidRDefault="0056273E" w:rsidP="002D1F71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2D1F71">
        <w:rPr>
          <w:rFonts w:ascii="Arial" w:hAnsi="Arial" w:cs="Arial"/>
          <w:b/>
          <w:color w:val="000000"/>
        </w:rPr>
        <w:t xml:space="preserve">ΘΕΜΑ </w:t>
      </w:r>
      <w:r w:rsidR="00F82414">
        <w:rPr>
          <w:rFonts w:ascii="Arial" w:hAnsi="Arial" w:cs="Arial"/>
          <w:b/>
          <w:color w:val="000000"/>
        </w:rPr>
        <w:t>1</w:t>
      </w:r>
      <w:r w:rsidRPr="002D1F71">
        <w:rPr>
          <w:rFonts w:ascii="Arial" w:hAnsi="Arial" w:cs="Arial"/>
          <w:b/>
          <w:color w:val="000000"/>
          <w:vertAlign w:val="superscript"/>
        </w:rPr>
        <w:t>Ο</w:t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Pr="002D1F71">
        <w:rPr>
          <w:rFonts w:ascii="Arial" w:hAnsi="Arial" w:cs="Arial"/>
          <w:b/>
          <w:color w:val="000000"/>
          <w:vertAlign w:val="superscript"/>
        </w:rPr>
        <w:tab/>
      </w:r>
      <w:r w:rsidR="00B76C39" w:rsidRPr="002D1F71">
        <w:rPr>
          <w:rFonts w:ascii="Arial" w:hAnsi="Arial" w:cs="Arial"/>
          <w:b/>
          <w:color w:val="000000"/>
          <w:vertAlign w:val="superscript"/>
        </w:rPr>
        <w:tab/>
      </w:r>
    </w:p>
    <w:p w:rsidR="00275122" w:rsidRDefault="00275122" w:rsidP="002751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Έστω ότι μια επιχείρηση επενδύει σήμερα το ποσό 10.000€, το κόστος ευκαιρίας του οποίου είναι 10% και θα θέλαμε να βρεθεί η μελλοντική αξία της επένδυσης σε χρονικό ορίζοντα 2έτη.</w:t>
      </w:r>
    </w:p>
    <w:p w:rsidR="00DA2B24" w:rsidRPr="002D1F71" w:rsidRDefault="00DA2B24" w:rsidP="002D1F71">
      <w:pPr>
        <w:spacing w:line="360" w:lineRule="auto"/>
        <w:jc w:val="both"/>
        <w:rPr>
          <w:rFonts w:ascii="Arial" w:hAnsi="Arial" w:cs="Arial"/>
        </w:rPr>
      </w:pPr>
    </w:p>
    <w:p w:rsidR="00DA2B24" w:rsidRPr="00F82414" w:rsidRDefault="00DA2B24" w:rsidP="00DA2B24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ΘΕΜΑ 2ο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275122" w:rsidRDefault="00275122" w:rsidP="0027512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Να βρεθεί η παρούσα αξία μιας μελλοντικής καθαρής ταμειακής ροής 10.000€ του δεύτερου χρόνου της επένδυσης όταν η αναμενόμενη απόδοση είναι 10%.</w:t>
      </w:r>
    </w:p>
    <w:p w:rsidR="00275122" w:rsidRPr="00F82414" w:rsidRDefault="00275122" w:rsidP="002D1F7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5122" w:rsidRDefault="00275122" w:rsidP="00275122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ΘΕΜΑ 3ο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916AAE" w:rsidRDefault="00916AAE" w:rsidP="00916AAE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Έστω ότι έχουμε μια επένδυση της οποίας η καθαρή ταμειακή ροή τα 3 χρόνια ανέρχεται σε 10.000€ τον 1</w:t>
      </w:r>
      <w:r w:rsidRPr="00011673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χρόνο, 20.000€ τον 2</w:t>
      </w:r>
      <w:r w:rsidRPr="00011673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και 30.000€ τον 3</w:t>
      </w:r>
      <w:r w:rsidRPr="00011673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χρόνο. Το επιτόκιο της απόδοσης είναι 10%. Να βρεθεί η παρούσα αξία αυτών των χρηματοροών.</w:t>
      </w:r>
    </w:p>
    <w:p w:rsidR="00F82414" w:rsidRPr="00F82414" w:rsidRDefault="00F82414" w:rsidP="002D1F7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75122" w:rsidRDefault="00275122" w:rsidP="00275122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ΘΕΜΑ 4ο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916AAE" w:rsidRDefault="00916AAE" w:rsidP="00916AAE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Να βρεθεί η καθαρά παρούσα αξία ενός 4ετούς επενδυτικού προγράμματος ύψους 500.000€ όταν το προεξοφλητικό επιτόκιο καθορίζεται σταθερό για μια 4ετία και ανέρχεται στο ύψος του 10%. Οι επερχόμενες χρηματοροές (καθαρές ταμειακές ροές) είναι τον 1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100.000€, τον 2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150.000€, τον 3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200.000€ και τον 4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50.000</w:t>
      </w:r>
      <w:r w:rsidRPr="000B4445">
        <w:rPr>
          <w:rFonts w:ascii="Arial" w:eastAsiaTheme="minorEastAsia" w:hAnsi="Arial" w:cs="Arial"/>
        </w:rPr>
        <w:t>€.</w:t>
      </w:r>
      <w:r>
        <w:rPr>
          <w:rFonts w:ascii="Arial" w:eastAsiaTheme="minorEastAsia" w:hAnsi="Arial" w:cs="Arial"/>
        </w:rPr>
        <w:t xml:space="preserve"> Να πούμε αν το επενδυτικό πρόγραμμα θα γίνει αποδεκτό ή όχι.</w:t>
      </w:r>
    </w:p>
    <w:p w:rsidR="00F82414" w:rsidRPr="00F82414" w:rsidRDefault="00F82414" w:rsidP="002D1F7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B2451C" w:rsidRDefault="00B2451C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2451C" w:rsidRDefault="00B2451C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2451C" w:rsidRDefault="00B2451C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2451C" w:rsidRDefault="00B2451C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2451C" w:rsidRDefault="00B2451C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2451C" w:rsidRDefault="00B2451C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2451C" w:rsidRDefault="00B2451C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654AF9" w:rsidRPr="00275122" w:rsidRDefault="00654AF9" w:rsidP="00DA2B24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F82414">
        <w:rPr>
          <w:rFonts w:ascii="Arial" w:hAnsi="Arial" w:cs="Arial"/>
          <w:b/>
          <w:color w:val="000000"/>
          <w:u w:val="single"/>
        </w:rPr>
        <w:t xml:space="preserve">ΛΥΣΕΙΣ </w:t>
      </w:r>
      <w:r w:rsidR="00B2451C">
        <w:rPr>
          <w:rFonts w:ascii="Arial" w:hAnsi="Arial" w:cs="Arial"/>
          <w:b/>
          <w:color w:val="000000"/>
          <w:u w:val="single"/>
        </w:rPr>
        <w:t xml:space="preserve">ΕΝΔΕΙΚΤΙΚΩΝ ΘΕΜΑΤΩΝ </w:t>
      </w:r>
      <w:r w:rsidR="002D1F71" w:rsidRPr="00F82414">
        <w:rPr>
          <w:rFonts w:ascii="Arial" w:hAnsi="Arial" w:cs="Arial"/>
          <w:b/>
          <w:color w:val="000000"/>
          <w:u w:val="single"/>
        </w:rPr>
        <w:t>ΑΞΙΟΛΟΓΗΣΗ</w:t>
      </w:r>
      <w:r w:rsidR="00B2451C">
        <w:rPr>
          <w:rFonts w:ascii="Arial" w:hAnsi="Arial" w:cs="Arial"/>
          <w:b/>
          <w:color w:val="000000"/>
          <w:u w:val="single"/>
        </w:rPr>
        <w:t>Σ</w:t>
      </w:r>
      <w:r w:rsidR="002D1F71" w:rsidRPr="00F82414">
        <w:rPr>
          <w:rFonts w:ascii="Arial" w:hAnsi="Arial" w:cs="Arial"/>
          <w:b/>
          <w:color w:val="000000"/>
          <w:u w:val="single"/>
        </w:rPr>
        <w:t xml:space="preserve"> ΕΠΕΝΔΥΣΕΩΝ</w:t>
      </w:r>
      <w:r w:rsidRPr="00F82414">
        <w:rPr>
          <w:rFonts w:ascii="Arial" w:hAnsi="Arial" w:cs="Arial"/>
          <w:b/>
          <w:color w:val="000000"/>
          <w:u w:val="single"/>
        </w:rPr>
        <w:t xml:space="preserve"> </w:t>
      </w:r>
    </w:p>
    <w:p w:rsidR="00F563D7" w:rsidRPr="00F82414" w:rsidRDefault="00F563D7" w:rsidP="002D1F71">
      <w:pPr>
        <w:jc w:val="both"/>
        <w:rPr>
          <w:rFonts w:ascii="Arial" w:hAnsi="Arial" w:cs="Arial"/>
          <w:b/>
          <w:color w:val="000000"/>
        </w:rPr>
      </w:pPr>
      <w:r w:rsidRPr="00F82414">
        <w:rPr>
          <w:rFonts w:ascii="Arial" w:hAnsi="Arial" w:cs="Arial"/>
          <w:b/>
          <w:color w:val="000000"/>
        </w:rPr>
        <w:t xml:space="preserve">ΘΕΜΑ </w:t>
      </w:r>
      <w:r w:rsidR="00F82414" w:rsidRPr="00F82414">
        <w:rPr>
          <w:rFonts w:ascii="Arial" w:hAnsi="Arial" w:cs="Arial"/>
          <w:b/>
          <w:color w:val="000000"/>
        </w:rPr>
        <w:t>1</w:t>
      </w:r>
      <w:r w:rsidRPr="00F82414">
        <w:rPr>
          <w:rFonts w:ascii="Arial" w:hAnsi="Arial" w:cs="Arial"/>
          <w:b/>
          <w:color w:val="000000"/>
        </w:rPr>
        <w:t>ο</w:t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  <w:r w:rsidRPr="00F82414">
        <w:rPr>
          <w:rFonts w:ascii="Arial" w:hAnsi="Arial" w:cs="Arial"/>
          <w:b/>
          <w:color w:val="000000"/>
        </w:rPr>
        <w:tab/>
      </w:r>
    </w:p>
    <w:p w:rsidR="00275122" w:rsidRDefault="00275122" w:rsidP="002751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Έστω ότι μια επιχείρηση επενδύει σήμερα το ποσό 10.000€, το κόστος ευκαιρίας του οποίου είναι 10% και θα θέλαμε να βρεθεί η μελλοντική αξία της επένδυσης σε χρονικό ορίζοντα 2έτη.</w:t>
      </w:r>
    </w:p>
    <w:p w:rsidR="00275122" w:rsidRPr="00275122" w:rsidRDefault="00275122" w:rsidP="00275122">
      <w:pPr>
        <w:rPr>
          <w:rFonts w:ascii="Arial" w:hAnsi="Arial" w:cs="Arial"/>
          <w:u w:val="single"/>
        </w:rPr>
      </w:pPr>
      <w:r w:rsidRPr="00275122">
        <w:rPr>
          <w:rFonts w:ascii="Arial" w:hAnsi="Arial" w:cs="Arial"/>
          <w:u w:val="single"/>
        </w:rPr>
        <w:t>Λύση</w:t>
      </w:r>
    </w:p>
    <w:p w:rsidR="00275122" w:rsidRPr="00443B40" w:rsidRDefault="00F1046C" w:rsidP="00275122">
      <w:pPr>
        <w:rPr>
          <w:rFonts w:ascii="Arial" w:eastAsiaTheme="minorEastAsia" w:hAnsi="Arial" w:cs="Arial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ν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Arial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(1+</m:t>
              </m:r>
              <m:r>
                <m:rPr>
                  <m:sty m:val="p"/>
                </m:rPr>
                <w:rPr>
                  <w:rFonts w:ascii="Cambria Math" w:hAnsi="Cambria Math" w:cs="Arial"/>
                  <w:lang w:val="en-US"/>
                </w:rPr>
                <m:t>i)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lang w:val="en-US"/>
                </w:rPr>
                <m:t>v</m:t>
              </m:r>
            </m:sup>
          </m:sSup>
          <m:r>
            <w:rPr>
              <w:rFonts w:ascii="Cambria Math" w:hAnsi="Cambria Math" w:cs="Arial"/>
              <w:lang w:val="en-US"/>
            </w:rPr>
            <m:t>=10.000</m:t>
          </m:r>
          <m:sSup>
            <m:sSupPr>
              <m:ctrlPr>
                <w:rPr>
                  <w:rFonts w:ascii="Cambria Math" w:hAnsi="Cambria Math" w:cs="Arial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(1+0,10</m:t>
              </m:r>
              <m:r>
                <m:rPr>
                  <m:sty m:val="p"/>
                </m:rPr>
                <w:rPr>
                  <w:rFonts w:ascii="Cambria Math" w:hAnsi="Cambria Math" w:cs="Arial"/>
                  <w:lang w:val="en-US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lang w:val="en-US"/>
                </w:rPr>
                <m:t>2</m:t>
              </m:r>
            </m:sup>
          </m:sSup>
          <m:r>
            <w:rPr>
              <w:rFonts w:ascii="Cambria Math" w:hAnsi="Cambria Math" w:cs="Arial"/>
              <w:lang w:val="en-US"/>
            </w:rPr>
            <m:t>=10.000</m:t>
          </m:r>
          <m:sSup>
            <m:sSupPr>
              <m:ctrlPr>
                <w:rPr>
                  <w:rFonts w:ascii="Cambria Math" w:hAnsi="Cambria Math" w:cs="Arial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Arial"/>
                  <w:lang w:val="en-US"/>
                </w:rPr>
                <m:t>(1,10)</m:t>
              </m:r>
            </m:e>
            <m:sup>
              <m:r>
                <w:rPr>
                  <w:rFonts w:ascii="Cambria Math" w:hAnsi="Cambria Math" w:cs="Arial"/>
                  <w:lang w:val="en-US"/>
                </w:rPr>
                <m:t>2</m:t>
              </m:r>
            </m:sup>
          </m:sSup>
          <m:r>
            <w:rPr>
              <w:rFonts w:ascii="Cambria Math" w:hAnsi="Cambria Math" w:cs="Arial"/>
              <w:lang w:val="en-US"/>
            </w:rPr>
            <m:t>=10.000*1,21=&gt;</m:t>
          </m:r>
        </m:oMath>
      </m:oMathPara>
    </w:p>
    <w:p w:rsidR="00275122" w:rsidRPr="00443B40" w:rsidRDefault="00275122" w:rsidP="00275122">
      <w:pPr>
        <w:rPr>
          <w:rFonts w:ascii="Arial" w:eastAsiaTheme="minorEastAsia" w:hAnsi="Arial" w:cs="Arial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lang w:val="en-US"/>
            </w:rPr>
            <m:t>M=12.100€</m:t>
          </m:r>
        </m:oMath>
      </m:oMathPara>
    </w:p>
    <w:p w:rsidR="00F82414" w:rsidRDefault="00F01ADF" w:rsidP="00F01ADF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ΘΕΜΑ 2ο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275122" w:rsidRDefault="00275122" w:rsidP="0027512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Να βρεθεί η παρούσα αξία μιας μελλοντικής καθαρής ταμειακής ροής 10.000€ του δεύτερου χρόνου της επένδυσης όταν η αναμενόμενη απόδοση είναι 10%.</w:t>
      </w:r>
    </w:p>
    <w:p w:rsidR="00275122" w:rsidRPr="00916AAE" w:rsidRDefault="00275122" w:rsidP="00275122">
      <w:pPr>
        <w:jc w:val="both"/>
        <w:rPr>
          <w:rFonts w:ascii="Arial" w:eastAsiaTheme="minorEastAsia" w:hAnsi="Arial" w:cs="Arial"/>
          <w:u w:val="single"/>
        </w:rPr>
      </w:pPr>
      <w:r w:rsidRPr="00916AAE">
        <w:rPr>
          <w:rFonts w:ascii="Arial" w:eastAsiaTheme="minorEastAsia" w:hAnsi="Arial" w:cs="Arial"/>
          <w:u w:val="single"/>
        </w:rPr>
        <w:t>Λύση</w:t>
      </w:r>
    </w:p>
    <w:p w:rsidR="00275122" w:rsidRPr="00011673" w:rsidRDefault="00275122" w:rsidP="00275122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ΠΑ=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ΚΤΡ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ν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ν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10.000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lang w:val="en-US"/>
                    </w:rPr>
                    <m:t>0,10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1,10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10.000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1,21</m:t>
              </m:r>
            </m:den>
          </m:f>
          <m:r>
            <w:rPr>
              <w:rFonts w:ascii="Cambria Math" w:eastAsiaTheme="minorEastAsia" w:hAnsi="Cambria Math" w:cs="Arial"/>
            </w:rPr>
            <m:t>=8.264,46€</m:t>
          </m:r>
        </m:oMath>
      </m:oMathPara>
    </w:p>
    <w:p w:rsidR="00275122" w:rsidRDefault="00275122" w:rsidP="00275122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ΘΕΜΑ 3ο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916AAE" w:rsidRDefault="00916AAE" w:rsidP="00916AAE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Έστω ότι έχουμε μια επένδυση της οποίας η καθαρή ταμειακή ροή τα 3 χρόνια ανέρχεται σε 10.000€ τον 1</w:t>
      </w:r>
      <w:r w:rsidRPr="00011673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χρόνο, 20.000€ τον 2</w:t>
      </w:r>
      <w:r w:rsidRPr="00011673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και 30.000€ τον 3</w:t>
      </w:r>
      <w:r w:rsidRPr="00011673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χρόνο. Το επιτόκιο της απόδοσης είναι 10%. Να βρεθεί η παρούσα αξία αυτών των χρηματοροών.</w:t>
      </w:r>
    </w:p>
    <w:p w:rsidR="00916AAE" w:rsidRPr="00916AAE" w:rsidRDefault="00916AAE" w:rsidP="00916AAE">
      <w:pPr>
        <w:jc w:val="both"/>
        <w:rPr>
          <w:rFonts w:ascii="Arial" w:eastAsiaTheme="minorEastAsia" w:hAnsi="Arial" w:cs="Arial"/>
          <w:u w:val="single"/>
        </w:rPr>
      </w:pPr>
      <w:r w:rsidRPr="00916AAE">
        <w:rPr>
          <w:rFonts w:ascii="Arial" w:eastAsiaTheme="minorEastAsia" w:hAnsi="Arial" w:cs="Arial"/>
          <w:u w:val="single"/>
        </w:rPr>
        <w:t>Λύση</w:t>
      </w:r>
    </w:p>
    <w:p w:rsidR="00916AAE" w:rsidRPr="000B4445" w:rsidRDefault="00916AAE" w:rsidP="00916AAE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ΠΑ=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</w:rPr>
              </m:ctrlPr>
            </m:naryPr>
            <m:sub>
              <m:r>
                <w:rPr>
                  <w:rFonts w:ascii="Cambria Math" w:eastAsiaTheme="minorEastAsia" w:hAnsi="Cambria Math" w:cs="Arial"/>
                  <w:lang w:val="en-US"/>
                </w:rPr>
                <m:t>t=1</m:t>
              </m:r>
            </m:sub>
            <m:sup>
              <m:r>
                <w:rPr>
                  <w:rFonts w:ascii="Cambria Math" w:eastAsiaTheme="minorEastAsia" w:hAnsi="Cambria Math" w:cs="Arial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ΚΤΡ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(1+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10.000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(1+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lang w:val="en-US"/>
                </w:rPr>
                <m:t>0,10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)</m:t>
              </m:r>
            </m:den>
          </m:f>
          <m:r>
            <w:rPr>
              <w:rFonts w:ascii="Cambria Math" w:eastAsiaTheme="minorEastAsia" w:hAnsi="Cambria Math" w:cs="Arial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20.000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lang w:val="en-US"/>
                    </w:rPr>
                    <m:t>0,10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30.000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lang w:val="en-US"/>
                    </w:rPr>
                    <m:t>0,10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 xml:space="preserve">=&gt; </m:t>
          </m:r>
        </m:oMath>
      </m:oMathPara>
    </w:p>
    <w:p w:rsidR="00916AAE" w:rsidRPr="000B4445" w:rsidRDefault="00916AAE" w:rsidP="00916AAE">
      <w:pPr>
        <w:jc w:val="both"/>
        <w:rPr>
          <w:rFonts w:ascii="Arial" w:eastAsiaTheme="minorEastAsia" w:hAnsi="Arial" w:cs="Arial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ΠΑ=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10.000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1,10</m:t>
              </m:r>
            </m:den>
          </m:f>
          <m:r>
            <w:rPr>
              <w:rFonts w:ascii="Cambria Math" w:eastAsiaTheme="minorEastAsia" w:hAnsi="Cambria Math" w:cs="Arial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20.000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1,21</m:t>
              </m:r>
            </m:den>
          </m:f>
          <m:r>
            <w:rPr>
              <w:rFonts w:ascii="Cambria Math" w:eastAsiaTheme="minorEastAsia" w:hAnsi="Cambria Math" w:cs="Arial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30.000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1.331</m:t>
              </m:r>
            </m:den>
          </m:f>
          <m:r>
            <w:rPr>
              <w:rFonts w:ascii="Cambria Math" w:eastAsiaTheme="minorEastAsia" w:hAnsi="Cambria Math" w:cs="Arial"/>
              <w:lang w:val="en-US"/>
            </w:rPr>
            <m:t>=9.090+16.528+22.539=&gt;</m:t>
          </m:r>
        </m:oMath>
      </m:oMathPara>
    </w:p>
    <w:p w:rsidR="00916AAE" w:rsidRPr="000B4445" w:rsidRDefault="00916AAE" w:rsidP="00916AAE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ΠΑ=48.158€</m:t>
          </m:r>
        </m:oMath>
      </m:oMathPara>
    </w:p>
    <w:p w:rsidR="00275122" w:rsidRDefault="00275122" w:rsidP="00275122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ΘΕΜΑ 4ο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916AAE" w:rsidRDefault="00916AAE" w:rsidP="00916AAE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Να βρεθεί η καθαρά παρούσα αξία ενός 4ετούς επενδυτικού προγράμματος ύψους 500.000€ όταν το προεξοφλητικό επιτόκιο καθορίζεται σταθερό για μια 4ετία και ανέρχεται στο ύψος του 10%. Οι επερχόμενες χρηματοροές (καθαρές ταμειακές ροές) είναι τον 1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100.000€, τον 2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150.000€, τον 3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200.000€ και τον 4</w:t>
      </w:r>
      <w:r w:rsidRPr="000B4445">
        <w:rPr>
          <w:rFonts w:ascii="Arial" w:eastAsiaTheme="minorEastAsia" w:hAnsi="Arial" w:cs="Arial"/>
          <w:vertAlign w:val="superscript"/>
        </w:rPr>
        <w:t>ο</w:t>
      </w:r>
      <w:r>
        <w:rPr>
          <w:rFonts w:ascii="Arial" w:eastAsiaTheme="minorEastAsia" w:hAnsi="Arial" w:cs="Arial"/>
        </w:rPr>
        <w:t xml:space="preserve"> χρόνο 50.000</w:t>
      </w:r>
      <w:r w:rsidRPr="000B4445">
        <w:rPr>
          <w:rFonts w:ascii="Arial" w:eastAsiaTheme="minorEastAsia" w:hAnsi="Arial" w:cs="Arial"/>
        </w:rPr>
        <w:t>€.</w:t>
      </w:r>
      <w:r>
        <w:rPr>
          <w:rFonts w:ascii="Arial" w:eastAsiaTheme="minorEastAsia" w:hAnsi="Arial" w:cs="Arial"/>
        </w:rPr>
        <w:t xml:space="preserve"> Να πούμε αν το επενδυτικό πρόγραμμα θα γίνει αποδεκτό ή όχι.</w:t>
      </w:r>
    </w:p>
    <w:p w:rsidR="00916AAE" w:rsidRPr="00916AAE" w:rsidRDefault="00916AAE" w:rsidP="00916AAE">
      <w:pPr>
        <w:jc w:val="both"/>
        <w:rPr>
          <w:rFonts w:ascii="Arial" w:eastAsiaTheme="minorEastAsia" w:hAnsi="Arial" w:cs="Arial"/>
          <w:u w:val="single"/>
        </w:rPr>
      </w:pPr>
      <w:r>
        <w:rPr>
          <w:rFonts w:ascii="Arial" w:eastAsiaTheme="minorEastAsia" w:hAnsi="Arial" w:cs="Arial"/>
          <w:u w:val="single"/>
        </w:rPr>
        <w:t>Λύση</w:t>
      </w:r>
    </w:p>
    <w:p w:rsidR="00916AAE" w:rsidRPr="005707BC" w:rsidRDefault="00916AAE" w:rsidP="00916AAE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ΚΠΑ</m:t>
          </m:r>
          <m:r>
            <w:rPr>
              <w:rFonts w:ascii="Cambria Math" w:eastAsiaTheme="minorEastAsia" w:hAnsi="Cambria Math" w:cs="Arial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ΚΤΡ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0</m:t>
              </m:r>
            </m:sub>
          </m:sSub>
          <m:r>
            <w:rPr>
              <w:rFonts w:ascii="Cambria Math" w:eastAsiaTheme="minorEastAsia" w:hAnsi="Cambria Math" w:cs="Arial"/>
            </w:rPr>
            <m:t>=&gt;</m:t>
          </m:r>
        </m:oMath>
      </m:oMathPara>
    </w:p>
    <w:p w:rsidR="00916AAE" w:rsidRPr="005707BC" w:rsidRDefault="00916AAE" w:rsidP="00916AAE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ΚΠΑ</m:t>
          </m:r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100.000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1+0.10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150.000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200.000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lang w:val="en-US"/>
                            </w:rPr>
                            <m:t>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50.000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(1+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lang w:val="en-US"/>
                        </w:rPr>
                        <m:t>0,10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4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="Arial"/>
            </w:rPr>
            <m:t>-500.000=&gt;</m:t>
          </m:r>
        </m:oMath>
      </m:oMathPara>
    </w:p>
    <w:p w:rsidR="00916AAE" w:rsidRPr="005707BC" w:rsidRDefault="00916AAE" w:rsidP="00916AAE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ΚΠΑ</m:t>
          </m:r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100.000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1,10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150.000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1,21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200.000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1,331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50.000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1,4641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-500.000=&gt;</m:t>
          </m:r>
        </m:oMath>
      </m:oMathPara>
    </w:p>
    <w:p w:rsidR="00916AAE" w:rsidRPr="005707BC" w:rsidRDefault="00916AAE" w:rsidP="00916AAE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ΚΠΑ</m:t>
          </m:r>
          <m:r>
            <w:rPr>
              <w:rFonts w:ascii="Cambria Math" w:eastAsiaTheme="minorEastAsia" w:hAnsi="Cambria Math" w:cs="Arial"/>
            </w:rPr>
            <m:t xml:space="preserve">= 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90.909+123.966+150.262+34.150</m:t>
              </m:r>
            </m:e>
          </m:d>
          <m:r>
            <w:rPr>
              <w:rFonts w:ascii="Cambria Math" w:eastAsiaTheme="minorEastAsia" w:hAnsi="Cambria Math" w:cs="Arial"/>
            </w:rPr>
            <m:t>-500.000=&gt;</m:t>
          </m:r>
        </m:oMath>
      </m:oMathPara>
    </w:p>
    <w:p w:rsidR="00916AAE" w:rsidRPr="005707BC" w:rsidRDefault="00916AAE" w:rsidP="00916AAE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ΚΠΑ</m:t>
          </m:r>
          <m:r>
            <w:rPr>
              <w:rFonts w:ascii="Cambria Math" w:eastAsiaTheme="minorEastAsia" w:hAnsi="Cambria Math" w:cs="Arial"/>
            </w:rPr>
            <m:t>=399.287-500.000=-100.713€</m:t>
          </m:r>
        </m:oMath>
      </m:oMathPara>
    </w:p>
    <w:p w:rsidR="00916AAE" w:rsidRDefault="00916AAE" w:rsidP="00916AAE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Αφού η ΚΠΑ&lt;0 τότε η το επενδυτικό πρόγραμμα δεν γίνεται αποδεκτό.</w:t>
      </w:r>
    </w:p>
    <w:p w:rsidR="00275122" w:rsidRPr="00275122" w:rsidRDefault="00275122" w:rsidP="00F01ADF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275122" w:rsidRPr="00275122" w:rsidSect="00146CD2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D8A"/>
    <w:multiLevelType w:val="hybridMultilevel"/>
    <w:tmpl w:val="E4A06EAA"/>
    <w:lvl w:ilvl="0" w:tplc="CEAAF7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7C833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A0676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5A47E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2864F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CC94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7C37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5E375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B064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D12F21"/>
    <w:multiLevelType w:val="hybridMultilevel"/>
    <w:tmpl w:val="97E25112"/>
    <w:lvl w:ilvl="0" w:tplc="A8184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9EE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CF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0B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F0F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82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05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04C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CD7975"/>
    <w:multiLevelType w:val="hybridMultilevel"/>
    <w:tmpl w:val="C2DE33D4"/>
    <w:lvl w:ilvl="0" w:tplc="A2B46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DC8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EC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10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C8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C7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2D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6A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A8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BE9343C"/>
    <w:multiLevelType w:val="hybridMultilevel"/>
    <w:tmpl w:val="64D233A0"/>
    <w:lvl w:ilvl="0" w:tplc="FCD656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2C9B3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14F4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C6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DC098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7832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A67D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7EF9D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CEFAE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4C623D2"/>
    <w:multiLevelType w:val="hybridMultilevel"/>
    <w:tmpl w:val="C0EA43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6273E"/>
    <w:rsid w:val="000764A4"/>
    <w:rsid w:val="00076DD9"/>
    <w:rsid w:val="0009259A"/>
    <w:rsid w:val="000F6D31"/>
    <w:rsid w:val="000F6E0F"/>
    <w:rsid w:val="00131352"/>
    <w:rsid w:val="001328F1"/>
    <w:rsid w:val="001403B4"/>
    <w:rsid w:val="00146CD2"/>
    <w:rsid w:val="00154E4C"/>
    <w:rsid w:val="00183FF4"/>
    <w:rsid w:val="001B5CC2"/>
    <w:rsid w:val="001E52C8"/>
    <w:rsid w:val="001F07FD"/>
    <w:rsid w:val="001F6F6C"/>
    <w:rsid w:val="00216402"/>
    <w:rsid w:val="00221D22"/>
    <w:rsid w:val="0024720C"/>
    <w:rsid w:val="002609B9"/>
    <w:rsid w:val="0026495C"/>
    <w:rsid w:val="002657CA"/>
    <w:rsid w:val="00267474"/>
    <w:rsid w:val="00275122"/>
    <w:rsid w:val="00282092"/>
    <w:rsid w:val="002B74D3"/>
    <w:rsid w:val="002D1F71"/>
    <w:rsid w:val="002F5EB3"/>
    <w:rsid w:val="00330CC2"/>
    <w:rsid w:val="00336E13"/>
    <w:rsid w:val="00360CDD"/>
    <w:rsid w:val="003879F9"/>
    <w:rsid w:val="004035EF"/>
    <w:rsid w:val="00415ED8"/>
    <w:rsid w:val="00421F2E"/>
    <w:rsid w:val="004270FB"/>
    <w:rsid w:val="00427314"/>
    <w:rsid w:val="00463EFF"/>
    <w:rsid w:val="004D0BBC"/>
    <w:rsid w:val="004D4A97"/>
    <w:rsid w:val="005001AA"/>
    <w:rsid w:val="00513DA3"/>
    <w:rsid w:val="00536154"/>
    <w:rsid w:val="0056273E"/>
    <w:rsid w:val="00577E53"/>
    <w:rsid w:val="00590D61"/>
    <w:rsid w:val="00592C86"/>
    <w:rsid w:val="005C31C6"/>
    <w:rsid w:val="005C3568"/>
    <w:rsid w:val="00623CD7"/>
    <w:rsid w:val="00654AF9"/>
    <w:rsid w:val="0066430A"/>
    <w:rsid w:val="00685FA6"/>
    <w:rsid w:val="006A4AFB"/>
    <w:rsid w:val="006B5D88"/>
    <w:rsid w:val="006C0566"/>
    <w:rsid w:val="006E676C"/>
    <w:rsid w:val="00741648"/>
    <w:rsid w:val="00757DCC"/>
    <w:rsid w:val="00764B57"/>
    <w:rsid w:val="007851BA"/>
    <w:rsid w:val="00785D5E"/>
    <w:rsid w:val="00786B5A"/>
    <w:rsid w:val="007A0846"/>
    <w:rsid w:val="007A64CE"/>
    <w:rsid w:val="007B379D"/>
    <w:rsid w:val="007B61FE"/>
    <w:rsid w:val="007D2ACC"/>
    <w:rsid w:val="007E28B9"/>
    <w:rsid w:val="0080688C"/>
    <w:rsid w:val="0084584D"/>
    <w:rsid w:val="00880C9D"/>
    <w:rsid w:val="00885296"/>
    <w:rsid w:val="0089064F"/>
    <w:rsid w:val="00893F8F"/>
    <w:rsid w:val="008A0306"/>
    <w:rsid w:val="008B3762"/>
    <w:rsid w:val="008D21DF"/>
    <w:rsid w:val="008F5867"/>
    <w:rsid w:val="00903158"/>
    <w:rsid w:val="00916AAE"/>
    <w:rsid w:val="00916D13"/>
    <w:rsid w:val="00943292"/>
    <w:rsid w:val="00962ECB"/>
    <w:rsid w:val="00967255"/>
    <w:rsid w:val="009A4287"/>
    <w:rsid w:val="009C17AC"/>
    <w:rsid w:val="009D5CB8"/>
    <w:rsid w:val="009F1A5B"/>
    <w:rsid w:val="009F75A7"/>
    <w:rsid w:val="00A15DEC"/>
    <w:rsid w:val="00A23DA6"/>
    <w:rsid w:val="00A30427"/>
    <w:rsid w:val="00A42A3C"/>
    <w:rsid w:val="00A61B09"/>
    <w:rsid w:val="00A62246"/>
    <w:rsid w:val="00A71E17"/>
    <w:rsid w:val="00A83C9D"/>
    <w:rsid w:val="00A96BFE"/>
    <w:rsid w:val="00AB45CD"/>
    <w:rsid w:val="00AC4FA9"/>
    <w:rsid w:val="00AD0C03"/>
    <w:rsid w:val="00AD567B"/>
    <w:rsid w:val="00AF5656"/>
    <w:rsid w:val="00B2451C"/>
    <w:rsid w:val="00B3050E"/>
    <w:rsid w:val="00B475F5"/>
    <w:rsid w:val="00B76C39"/>
    <w:rsid w:val="00B837E0"/>
    <w:rsid w:val="00B93A7C"/>
    <w:rsid w:val="00B94899"/>
    <w:rsid w:val="00BE0454"/>
    <w:rsid w:val="00C121B1"/>
    <w:rsid w:val="00C24352"/>
    <w:rsid w:val="00C51058"/>
    <w:rsid w:val="00C62469"/>
    <w:rsid w:val="00C652CF"/>
    <w:rsid w:val="00C74493"/>
    <w:rsid w:val="00C81DC6"/>
    <w:rsid w:val="00C85B21"/>
    <w:rsid w:val="00C933AC"/>
    <w:rsid w:val="00CB37C3"/>
    <w:rsid w:val="00CD19B6"/>
    <w:rsid w:val="00CD3408"/>
    <w:rsid w:val="00CD4B03"/>
    <w:rsid w:val="00CF0A71"/>
    <w:rsid w:val="00D14E50"/>
    <w:rsid w:val="00D46B26"/>
    <w:rsid w:val="00D51AD4"/>
    <w:rsid w:val="00D53D00"/>
    <w:rsid w:val="00D71A45"/>
    <w:rsid w:val="00D9078E"/>
    <w:rsid w:val="00D92087"/>
    <w:rsid w:val="00DA2B24"/>
    <w:rsid w:val="00DB5D3E"/>
    <w:rsid w:val="00DC5F8B"/>
    <w:rsid w:val="00DE0C3F"/>
    <w:rsid w:val="00DF55EC"/>
    <w:rsid w:val="00E86512"/>
    <w:rsid w:val="00ED30DA"/>
    <w:rsid w:val="00F01ADF"/>
    <w:rsid w:val="00F02327"/>
    <w:rsid w:val="00F1046C"/>
    <w:rsid w:val="00F24B08"/>
    <w:rsid w:val="00F47739"/>
    <w:rsid w:val="00F5412F"/>
    <w:rsid w:val="00F563D7"/>
    <w:rsid w:val="00F721C0"/>
    <w:rsid w:val="00F82414"/>
    <w:rsid w:val="00F95B9A"/>
    <w:rsid w:val="00FB6F9D"/>
    <w:rsid w:val="00FC1CAF"/>
    <w:rsid w:val="00FE28BC"/>
    <w:rsid w:val="00FF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0BB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F55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83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10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21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80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eikoz.gr/?page=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Links>
    <vt:vector size="6" baseType="variant">
      <vt:variant>
        <vt:i4>3801127</vt:i4>
      </vt:variant>
      <vt:variant>
        <vt:i4>0</vt:i4>
      </vt:variant>
      <vt:variant>
        <vt:i4>0</vt:i4>
      </vt:variant>
      <vt:variant>
        <vt:i4>5</vt:i4>
      </vt:variant>
      <vt:variant>
        <vt:lpwstr>http://www.teikoz.gr/?page=main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</dc:creator>
  <cp:lastModifiedBy>user</cp:lastModifiedBy>
  <cp:revision>4</cp:revision>
  <cp:lastPrinted>2015-12-03T19:08:00Z</cp:lastPrinted>
  <dcterms:created xsi:type="dcterms:W3CDTF">2016-03-27T09:36:00Z</dcterms:created>
  <dcterms:modified xsi:type="dcterms:W3CDTF">2016-03-27T09:38:00Z</dcterms:modified>
</cp:coreProperties>
</file>